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7EB02A1D" w:rsidR="00E90E49" w:rsidRPr="00AA5E92" w:rsidRDefault="00E90E49" w:rsidP="00A54D7D">
      <w:pPr>
        <w:pStyle w:val="3GPPHeader"/>
        <w:spacing w:after="60"/>
        <w:jc w:val="left"/>
        <w:rPr>
          <w:sz w:val="32"/>
          <w:szCs w:val="32"/>
          <w:highlight w:val="yellow"/>
          <w:lang w:val="en-US"/>
        </w:rPr>
      </w:pPr>
      <w:r w:rsidRPr="00CE0424">
        <w:t>3GPP TSG-RAN WG</w:t>
      </w:r>
      <w:r w:rsidR="00F20F5C">
        <w:t>2</w:t>
      </w:r>
      <w:r w:rsidRPr="00CE0424">
        <w:t xml:space="preserve"> #</w:t>
      </w:r>
      <w:r w:rsidR="00F20F5C">
        <w:t>1</w:t>
      </w:r>
      <w:r w:rsidR="00991AE2">
        <w:t>2</w:t>
      </w:r>
      <w:r w:rsidR="00B932C5">
        <w:t>4</w:t>
      </w:r>
      <w:r w:rsidRPr="00CE0424">
        <w:tab/>
      </w:r>
      <w:r w:rsidR="008E2268" w:rsidRPr="008E2268">
        <w:rPr>
          <w:sz w:val="28"/>
          <w:szCs w:val="28"/>
        </w:rPr>
        <w:t>R2-2312900</w:t>
      </w:r>
    </w:p>
    <w:p w14:paraId="0DEF01D1" w14:textId="2E503099" w:rsidR="00E90E49" w:rsidRPr="00CE0424" w:rsidRDefault="00B932C5" w:rsidP="00A54D7D">
      <w:pPr>
        <w:pStyle w:val="3GPPHeader"/>
        <w:jc w:val="left"/>
      </w:pPr>
      <w:r>
        <w:t>Chicago</w:t>
      </w:r>
      <w:r w:rsidR="00991AE2">
        <w:t xml:space="preserve">, </w:t>
      </w:r>
      <w:r>
        <w:t>USA</w:t>
      </w:r>
      <w:r w:rsidR="00C268E6">
        <w:t>, 202</w:t>
      </w:r>
      <w:r w:rsidR="00883988">
        <w:t>3</w:t>
      </w:r>
      <w:r w:rsidR="00DF66E1">
        <w:t>-</w:t>
      </w:r>
      <w:r>
        <w:t>11</w:t>
      </w:r>
      <w:r w:rsidR="00DF66E1">
        <w:t>-</w:t>
      </w:r>
      <w:r>
        <w:t>13</w:t>
      </w:r>
      <w:r w:rsidR="00DF66E1">
        <w:t xml:space="preserve"> - 202</w:t>
      </w:r>
      <w:r w:rsidR="00883988">
        <w:t>3</w:t>
      </w:r>
      <w:r w:rsidR="00DF66E1">
        <w:t>-</w:t>
      </w:r>
      <w:r>
        <w:t>11</w:t>
      </w:r>
      <w:r w:rsidR="00DF66E1">
        <w:t>-</w:t>
      </w:r>
      <w:r>
        <w:t>17</w:t>
      </w:r>
    </w:p>
    <w:p w14:paraId="252563D4" w14:textId="77777777" w:rsidR="00E90E49" w:rsidRPr="00CE0424" w:rsidRDefault="00E90E49" w:rsidP="00A54D7D">
      <w:pPr>
        <w:pStyle w:val="3GPPHeader"/>
        <w:jc w:val="left"/>
      </w:pPr>
    </w:p>
    <w:p w14:paraId="267378A2" w14:textId="14EF4AD1" w:rsidR="00E90E49" w:rsidRPr="00CE0424" w:rsidRDefault="00E90E49" w:rsidP="00A54D7D">
      <w:pPr>
        <w:pStyle w:val="3GPPHeader"/>
        <w:jc w:val="left"/>
        <w:rPr>
          <w:sz w:val="22"/>
          <w:szCs w:val="22"/>
        </w:rPr>
      </w:pPr>
      <w:r w:rsidRPr="00CE0424">
        <w:rPr>
          <w:sz w:val="22"/>
          <w:szCs w:val="22"/>
        </w:rPr>
        <w:t>Agenda Item:</w:t>
      </w:r>
      <w:r w:rsidRPr="00CE0424">
        <w:rPr>
          <w:sz w:val="22"/>
          <w:szCs w:val="22"/>
        </w:rPr>
        <w:tab/>
      </w:r>
      <w:r w:rsidR="00BD1224">
        <w:rPr>
          <w:sz w:val="22"/>
          <w:szCs w:val="22"/>
        </w:rPr>
        <w:t>7.13.7</w:t>
      </w:r>
    </w:p>
    <w:p w14:paraId="36E7B6AB" w14:textId="77777777" w:rsidR="00E90E49" w:rsidRPr="00CE0424" w:rsidRDefault="003D3C45" w:rsidP="00A54D7D">
      <w:pPr>
        <w:pStyle w:val="3GPPHeader"/>
        <w:jc w:val="left"/>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27644130" w:rsidR="00E90E49" w:rsidRPr="00CE0424" w:rsidRDefault="003D3C45" w:rsidP="00A54D7D">
      <w:pPr>
        <w:pStyle w:val="3GPPHeader"/>
        <w:jc w:val="left"/>
        <w:rPr>
          <w:sz w:val="22"/>
          <w:szCs w:val="22"/>
        </w:rPr>
      </w:pPr>
      <w:r>
        <w:rPr>
          <w:sz w:val="22"/>
          <w:szCs w:val="22"/>
        </w:rPr>
        <w:t>Title:</w:t>
      </w:r>
      <w:r w:rsidR="00E90E49" w:rsidRPr="00CE0424">
        <w:rPr>
          <w:sz w:val="22"/>
          <w:szCs w:val="22"/>
        </w:rPr>
        <w:tab/>
      </w:r>
      <w:r w:rsidR="00883988">
        <w:rPr>
          <w:sz w:val="22"/>
          <w:szCs w:val="22"/>
        </w:rPr>
        <w:t>SON Support for NPN</w:t>
      </w:r>
      <w:r w:rsidR="00991AE2">
        <w:rPr>
          <w:sz w:val="22"/>
          <w:szCs w:val="22"/>
        </w:rPr>
        <w:t xml:space="preserve"> </w:t>
      </w:r>
    </w:p>
    <w:p w14:paraId="24C111CD" w14:textId="77777777" w:rsidR="00E90E49" w:rsidRPr="00CE0424" w:rsidRDefault="00E90E49" w:rsidP="00A54D7D">
      <w:pPr>
        <w:pStyle w:val="3GPPHeader"/>
        <w:jc w:val="left"/>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3025EFA3" w14:textId="0B20C100" w:rsidR="00F41224" w:rsidRDefault="00F41224" w:rsidP="00A54D7D">
      <w:pPr>
        <w:pStyle w:val="BodyText"/>
        <w:jc w:val="left"/>
        <w:rPr>
          <w:rFonts w:cs="Arial"/>
        </w:rPr>
      </w:pPr>
      <w:r>
        <w:rPr>
          <w:rFonts w:cs="Arial"/>
        </w:rPr>
        <w:t>In RAN2#123bis meeting the following were agreed</w:t>
      </w:r>
    </w:p>
    <w:p w14:paraId="3BC1E726" w14:textId="77777777" w:rsidR="00F41224" w:rsidRPr="00183B54" w:rsidRDefault="00F41224" w:rsidP="00F41224">
      <w:pPr>
        <w:pStyle w:val="Doc-text2"/>
        <w:pBdr>
          <w:top w:val="single" w:sz="4" w:space="1" w:color="auto"/>
          <w:left w:val="single" w:sz="4" w:space="4" w:color="auto"/>
          <w:bottom w:val="single" w:sz="4" w:space="1" w:color="auto"/>
          <w:right w:val="single" w:sz="4" w:space="4" w:color="auto"/>
        </w:pBdr>
        <w:rPr>
          <w:lang w:val="en-GB"/>
        </w:rPr>
      </w:pPr>
      <w:r>
        <w:rPr>
          <w:lang w:val="en-GB"/>
        </w:rPr>
        <w:t>A</w:t>
      </w:r>
      <w:r w:rsidRPr="00183B54">
        <w:rPr>
          <w:lang w:val="en-GB"/>
        </w:rPr>
        <w:t>greement</w:t>
      </w:r>
      <w:r>
        <w:rPr>
          <w:lang w:val="en-GB"/>
        </w:rPr>
        <w:t>:</w:t>
      </w:r>
    </w:p>
    <w:p w14:paraId="18CD6843" w14:textId="77777777" w:rsidR="00F41224" w:rsidRDefault="00F41224" w:rsidP="00F41224">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r>
      <w:r w:rsidRPr="00183B54">
        <w:rPr>
          <w:lang w:val="en-GB"/>
        </w:rPr>
        <w:t>Not introducing any enhancements to address the loss issue of logged MDT report when UE switches between SNPN and PN</w:t>
      </w:r>
      <w:r>
        <w:rPr>
          <w:lang w:val="en-GB"/>
        </w:rPr>
        <w:t xml:space="preserve"> due to limited time.</w:t>
      </w:r>
    </w:p>
    <w:p w14:paraId="0298D221" w14:textId="7F67ED30" w:rsidR="00F41224" w:rsidRDefault="00F41224" w:rsidP="00A54D7D">
      <w:pPr>
        <w:pStyle w:val="BodyText"/>
        <w:jc w:val="left"/>
        <w:rPr>
          <w:rFonts w:cs="Arial"/>
        </w:rPr>
      </w:pPr>
    </w:p>
    <w:p w14:paraId="0433FFD9" w14:textId="77777777" w:rsidR="00F41224" w:rsidRPr="00593328" w:rsidRDefault="00F41224" w:rsidP="00F41224">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59EACE0B" w14:textId="77777777" w:rsidR="00F41224" w:rsidRDefault="00F41224" w:rsidP="00F41224">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r>
      <w:r w:rsidRPr="00593328">
        <w:rPr>
          <w:lang w:val="en-GB"/>
        </w:rPr>
        <w:t>A critical extension (</w:t>
      </w:r>
      <w:proofErr w:type="gramStart"/>
      <w:r w:rsidRPr="00593328">
        <w:rPr>
          <w:lang w:val="en-GB"/>
        </w:rPr>
        <w:t>i.e.</w:t>
      </w:r>
      <w:proofErr w:type="gramEnd"/>
      <w:r w:rsidRPr="00593328">
        <w:rPr>
          <w:lang w:val="en-GB"/>
        </w:rPr>
        <w:t xml:space="preserve"> AreaConfiguration-r18) can be considered in R18 for the PNI-NPN area scope in logged MDT configuration for mistake correction and to cover all configuration possibilities.</w:t>
      </w:r>
    </w:p>
    <w:p w14:paraId="1FEF6E44" w14:textId="77777777" w:rsidR="00F41224" w:rsidRPr="00593328" w:rsidRDefault="00F41224" w:rsidP="00F41224">
      <w:pPr>
        <w:pStyle w:val="Doc-text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t>I</w:t>
      </w:r>
      <w:r w:rsidRPr="00593328">
        <w:rPr>
          <w:lang w:val="en-GB"/>
        </w:rPr>
        <w:t>nclude the 3 cases of cell based/TAI based/SNPN list based SNPN related area scopes in the logged MDT configuration and a critical extension (</w:t>
      </w:r>
      <w:proofErr w:type="gramStart"/>
      <w:r w:rsidRPr="00593328">
        <w:rPr>
          <w:lang w:val="en-GB"/>
        </w:rPr>
        <w:t>i.e.</w:t>
      </w:r>
      <w:proofErr w:type="gramEnd"/>
      <w:r w:rsidRPr="00593328">
        <w:rPr>
          <w:lang w:val="en-GB"/>
        </w:rPr>
        <w:t xml:space="preserve"> AreaConfiguration-r18) can be considered in R18.</w:t>
      </w:r>
      <w:r>
        <w:rPr>
          <w:lang w:val="en-GB"/>
        </w:rPr>
        <w:t xml:space="preserve"> FFS how to optimize the signalling structure to avoid much overhead.</w:t>
      </w:r>
    </w:p>
    <w:p w14:paraId="51033C7A" w14:textId="77777777" w:rsidR="00F41224" w:rsidRDefault="00F41224" w:rsidP="00A54D7D">
      <w:pPr>
        <w:pStyle w:val="BodyText"/>
        <w:jc w:val="left"/>
        <w:rPr>
          <w:rFonts w:cs="Arial"/>
        </w:rPr>
      </w:pPr>
    </w:p>
    <w:p w14:paraId="6A357DE6" w14:textId="5ECB165E" w:rsidR="00014445" w:rsidRDefault="0039630F" w:rsidP="00A54D7D">
      <w:pPr>
        <w:pStyle w:val="BodyText"/>
        <w:jc w:val="left"/>
        <w:rPr>
          <w:rFonts w:cs="Arial"/>
        </w:rPr>
      </w:pPr>
      <w:r>
        <w:rPr>
          <w:rFonts w:cs="Arial"/>
        </w:rPr>
        <w:t>During RAN2#123 meeting the following agreements were taken</w:t>
      </w:r>
    </w:p>
    <w:p w14:paraId="08252A83" w14:textId="77777777" w:rsidR="0039630F" w:rsidRDefault="0039630F" w:rsidP="0039630F">
      <w:pPr>
        <w:pStyle w:val="Doc-text2"/>
        <w:pBdr>
          <w:top w:val="single" w:sz="4" w:space="1" w:color="auto"/>
          <w:left w:val="single" w:sz="4" w:space="4" w:color="auto"/>
          <w:bottom w:val="single" w:sz="4" w:space="1" w:color="auto"/>
          <w:right w:val="single" w:sz="4" w:space="4" w:color="auto"/>
        </w:pBdr>
      </w:pPr>
      <w:r>
        <w:t>Agreements:</w:t>
      </w:r>
    </w:p>
    <w:p w14:paraId="14DC8AB5" w14:textId="77777777" w:rsidR="0039630F" w:rsidRDefault="0039630F" w:rsidP="0039630F">
      <w:pPr>
        <w:pStyle w:val="Doc-text2"/>
        <w:pBdr>
          <w:top w:val="single" w:sz="4" w:space="1" w:color="auto"/>
          <w:left w:val="single" w:sz="4" w:space="4" w:color="auto"/>
          <w:bottom w:val="single" w:sz="4" w:space="1" w:color="auto"/>
          <w:right w:val="single" w:sz="4" w:space="4" w:color="auto"/>
        </w:pBdr>
      </w:pPr>
      <w:r>
        <w:t>1</w:t>
      </w:r>
      <w:r>
        <w:tab/>
        <w:t>Include SNPN ID (list) in the logged MDT area configuration following RAN3 agreement to align with the future NPN evolution.</w:t>
      </w:r>
    </w:p>
    <w:p w14:paraId="6BC1EE2F" w14:textId="77777777" w:rsidR="0039630F" w:rsidRDefault="0039630F" w:rsidP="0039630F">
      <w:pPr>
        <w:pStyle w:val="Doc-text2"/>
        <w:pBdr>
          <w:top w:val="single" w:sz="4" w:space="1" w:color="auto"/>
          <w:left w:val="single" w:sz="4" w:space="4" w:color="auto"/>
          <w:bottom w:val="single" w:sz="4" w:space="1" w:color="auto"/>
          <w:right w:val="single" w:sz="4" w:space="4" w:color="auto"/>
        </w:pBdr>
      </w:pPr>
      <w:r>
        <w:t>2</w:t>
      </w:r>
      <w:r>
        <w:tab/>
        <w:t>No new UE variables will be introduced for PNI-NPNs.</w:t>
      </w:r>
    </w:p>
    <w:p w14:paraId="09DB7644" w14:textId="77777777" w:rsidR="0039630F" w:rsidRDefault="0039630F" w:rsidP="0039630F">
      <w:pPr>
        <w:pStyle w:val="Doc-text2"/>
        <w:pBdr>
          <w:top w:val="single" w:sz="4" w:space="1" w:color="auto"/>
          <w:left w:val="single" w:sz="4" w:space="4" w:color="auto"/>
          <w:bottom w:val="single" w:sz="4" w:space="1" w:color="auto"/>
          <w:right w:val="single" w:sz="4" w:space="4" w:color="auto"/>
        </w:pBdr>
      </w:pPr>
      <w:r>
        <w:t>3</w:t>
      </w:r>
      <w:r>
        <w:tab/>
        <w:t>UE performs SNPN ID checking before transmitting the information for corresponding SON and MDT reports, upon the network requests for it.</w:t>
      </w:r>
    </w:p>
    <w:p w14:paraId="4354C57A" w14:textId="77777777" w:rsidR="0039630F" w:rsidRDefault="0039630F" w:rsidP="0039630F">
      <w:pPr>
        <w:pStyle w:val="Doc-text2"/>
        <w:pBdr>
          <w:top w:val="single" w:sz="4" w:space="1" w:color="auto"/>
          <w:left w:val="single" w:sz="4" w:space="4" w:color="auto"/>
          <w:bottom w:val="single" w:sz="4" w:space="1" w:color="auto"/>
          <w:right w:val="single" w:sz="4" w:space="4" w:color="auto"/>
        </w:pBdr>
      </w:pPr>
      <w:r>
        <w:t>4</w:t>
      </w:r>
      <w:r>
        <w:tab/>
        <w:t>Assuming ESNPN is supported, include a list of SNPN IDs in the logged MDT report.</w:t>
      </w:r>
    </w:p>
    <w:p w14:paraId="4482807F" w14:textId="77777777" w:rsidR="0039630F" w:rsidRDefault="0039630F" w:rsidP="00A54D7D">
      <w:pPr>
        <w:pStyle w:val="BodyText"/>
        <w:jc w:val="left"/>
        <w:rPr>
          <w:rFonts w:cs="Arial"/>
        </w:rPr>
      </w:pPr>
    </w:p>
    <w:p w14:paraId="28D3ABE1" w14:textId="56A8FA5E" w:rsidR="000525DC" w:rsidRDefault="000525DC" w:rsidP="00A54D7D">
      <w:pPr>
        <w:pStyle w:val="BodyText"/>
        <w:jc w:val="left"/>
        <w:rPr>
          <w:rFonts w:cs="Arial"/>
        </w:rPr>
      </w:pPr>
      <w:r>
        <w:rPr>
          <w:rFonts w:cs="Arial"/>
        </w:rPr>
        <w:t>Furthermore, the following FFSs were identified and are under discussion.</w:t>
      </w:r>
    </w:p>
    <w:p w14:paraId="5C1D29BA" w14:textId="77777777" w:rsidR="000525DC" w:rsidRDefault="000525DC" w:rsidP="000525DC">
      <w:pPr>
        <w:pStyle w:val="Doc-text2"/>
        <w:pBdr>
          <w:top w:val="single" w:sz="4" w:space="1" w:color="auto"/>
          <w:left w:val="single" w:sz="4" w:space="4" w:color="auto"/>
          <w:bottom w:val="single" w:sz="4" w:space="1" w:color="auto"/>
          <w:right w:val="single" w:sz="4" w:space="4" w:color="auto"/>
        </w:pBdr>
      </w:pPr>
      <w:r>
        <w:t>FFS1: Include UE CAG subscription information in the RLF/HOF report:</w:t>
      </w:r>
    </w:p>
    <w:p w14:paraId="65D6A1C7" w14:textId="77777777" w:rsidR="000525DC" w:rsidRDefault="000525DC" w:rsidP="000525DC">
      <w:pPr>
        <w:pStyle w:val="Doc-text2"/>
        <w:pBdr>
          <w:top w:val="single" w:sz="4" w:space="1" w:color="auto"/>
          <w:left w:val="single" w:sz="4" w:space="4" w:color="auto"/>
          <w:bottom w:val="single" w:sz="4" w:space="1" w:color="auto"/>
          <w:right w:val="single" w:sz="4" w:space="4" w:color="auto"/>
        </w:pBdr>
      </w:pPr>
      <w:r>
        <w:t>-</w:t>
      </w:r>
      <w:r>
        <w:tab/>
        <w:t>CAG subscription statues indication;</w:t>
      </w:r>
    </w:p>
    <w:p w14:paraId="76094DFE" w14:textId="77777777" w:rsidR="000525DC" w:rsidRDefault="000525DC" w:rsidP="000525DC">
      <w:pPr>
        <w:pStyle w:val="Doc-text2"/>
        <w:pBdr>
          <w:top w:val="single" w:sz="4" w:space="1" w:color="auto"/>
          <w:left w:val="single" w:sz="4" w:space="4" w:color="auto"/>
          <w:bottom w:val="single" w:sz="4" w:space="1" w:color="auto"/>
          <w:right w:val="single" w:sz="4" w:space="4" w:color="auto"/>
        </w:pBdr>
      </w:pPr>
      <w:r>
        <w:t>-</w:t>
      </w:r>
      <w:r>
        <w:tab/>
        <w:t>CAG-only indication.</w:t>
      </w:r>
    </w:p>
    <w:p w14:paraId="5E020F65" w14:textId="77777777" w:rsidR="000525DC" w:rsidRDefault="000525DC" w:rsidP="000525DC">
      <w:pPr>
        <w:pStyle w:val="Doc-text2"/>
        <w:pBdr>
          <w:top w:val="single" w:sz="4" w:space="1" w:color="auto"/>
          <w:left w:val="single" w:sz="4" w:space="4" w:color="auto"/>
          <w:bottom w:val="single" w:sz="4" w:space="1" w:color="auto"/>
          <w:right w:val="single" w:sz="4" w:space="4" w:color="auto"/>
        </w:pBdr>
      </w:pPr>
    </w:p>
    <w:p w14:paraId="101574EE" w14:textId="77777777" w:rsidR="000525DC" w:rsidRDefault="000525DC" w:rsidP="000525DC">
      <w:pPr>
        <w:pStyle w:val="Doc-text2"/>
        <w:pBdr>
          <w:top w:val="single" w:sz="4" w:space="1" w:color="auto"/>
          <w:left w:val="single" w:sz="4" w:space="4" w:color="auto"/>
          <w:bottom w:val="single" w:sz="4" w:space="1" w:color="auto"/>
          <w:right w:val="single" w:sz="4" w:space="4" w:color="auto"/>
        </w:pBdr>
      </w:pPr>
      <w:r>
        <w:t>FFS2: RAN2 to discuss whether and how to address the loss issue of logged MDT report when UE switches between SNPN and PN and then send RAN2 decision to RAN3.</w:t>
      </w:r>
    </w:p>
    <w:p w14:paraId="22337CC5" w14:textId="77777777" w:rsidR="000525DC" w:rsidRDefault="000525DC" w:rsidP="000525DC">
      <w:pPr>
        <w:pStyle w:val="Doc-text2"/>
        <w:pBdr>
          <w:top w:val="single" w:sz="4" w:space="1" w:color="auto"/>
          <w:left w:val="single" w:sz="4" w:space="4" w:color="auto"/>
          <w:bottom w:val="single" w:sz="4" w:space="1" w:color="auto"/>
          <w:right w:val="single" w:sz="4" w:space="4" w:color="auto"/>
        </w:pBdr>
      </w:pPr>
      <w:r>
        <w:t>-</w:t>
      </w:r>
      <w:r>
        <w:tab/>
        <w:t>Option 1: Introducing new variables for SNPNs;</w:t>
      </w:r>
    </w:p>
    <w:p w14:paraId="2C464EC9" w14:textId="77777777" w:rsidR="000525DC" w:rsidRDefault="000525DC" w:rsidP="000525DC">
      <w:pPr>
        <w:pStyle w:val="Doc-text2"/>
        <w:pBdr>
          <w:top w:val="single" w:sz="4" w:space="1" w:color="auto"/>
          <w:left w:val="single" w:sz="4" w:space="4" w:color="auto"/>
          <w:bottom w:val="single" w:sz="4" w:space="1" w:color="auto"/>
          <w:right w:val="single" w:sz="4" w:space="4" w:color="auto"/>
        </w:pBdr>
      </w:pPr>
      <w:r>
        <w:t>-</w:t>
      </w:r>
      <w:r>
        <w:tab/>
        <w:t>Option 2: Storing only the collected MDT measurements report (UE deletes the MDT configuration as legacy);</w:t>
      </w:r>
    </w:p>
    <w:p w14:paraId="204937DC" w14:textId="77777777" w:rsidR="000525DC" w:rsidRDefault="000525DC" w:rsidP="000525DC">
      <w:pPr>
        <w:pStyle w:val="Doc-text2"/>
        <w:pBdr>
          <w:top w:val="single" w:sz="4" w:space="1" w:color="auto"/>
          <w:left w:val="single" w:sz="4" w:space="4" w:color="auto"/>
          <w:bottom w:val="single" w:sz="4" w:space="1" w:color="auto"/>
          <w:right w:val="single" w:sz="4" w:space="4" w:color="auto"/>
        </w:pBdr>
      </w:pPr>
      <w:r>
        <w:t>-</w:t>
      </w:r>
      <w:r>
        <w:tab/>
        <w:t>Option 3</w:t>
      </w:r>
      <w:r>
        <w:rPr>
          <w:rFonts w:ascii="SimSun" w:eastAsia="SimSun" w:hAnsi="SimSun" w:cs="SimSun" w:hint="eastAsia"/>
        </w:rPr>
        <w:t>：</w:t>
      </w:r>
      <w:r>
        <w:t>No enhancement is needed;</w:t>
      </w:r>
    </w:p>
    <w:p w14:paraId="33F0A74C" w14:textId="77777777" w:rsidR="000525DC" w:rsidRDefault="000525DC" w:rsidP="000525DC">
      <w:pPr>
        <w:pStyle w:val="Doc-text2"/>
        <w:pBdr>
          <w:top w:val="single" w:sz="4" w:space="1" w:color="auto"/>
          <w:left w:val="single" w:sz="4" w:space="4" w:color="auto"/>
          <w:bottom w:val="single" w:sz="4" w:space="1" w:color="auto"/>
          <w:right w:val="single" w:sz="4" w:space="4" w:color="auto"/>
        </w:pBdr>
      </w:pPr>
    </w:p>
    <w:p w14:paraId="324EE72D" w14:textId="77777777" w:rsidR="000525DC" w:rsidRDefault="000525DC" w:rsidP="000525DC">
      <w:pPr>
        <w:pStyle w:val="Doc-text2"/>
        <w:pBdr>
          <w:top w:val="single" w:sz="4" w:space="1" w:color="auto"/>
          <w:left w:val="single" w:sz="4" w:space="4" w:color="auto"/>
          <w:bottom w:val="single" w:sz="4" w:space="1" w:color="auto"/>
          <w:right w:val="single" w:sz="4" w:space="4" w:color="auto"/>
        </w:pBdr>
      </w:pPr>
      <w:r>
        <w:t>FFS3:RAN2 to discuss:</w:t>
      </w:r>
    </w:p>
    <w:p w14:paraId="180777A7" w14:textId="77777777" w:rsidR="000525DC" w:rsidRDefault="000525DC" w:rsidP="000525DC">
      <w:pPr>
        <w:pStyle w:val="Doc-text2"/>
        <w:pBdr>
          <w:top w:val="single" w:sz="4" w:space="1" w:color="auto"/>
          <w:left w:val="single" w:sz="4" w:space="4" w:color="auto"/>
          <w:bottom w:val="single" w:sz="4" w:space="1" w:color="auto"/>
          <w:right w:val="single" w:sz="4" w:space="4" w:color="auto"/>
        </w:pBdr>
      </w:pPr>
      <w:r>
        <w:t>-</w:t>
      </w:r>
      <w:r>
        <w:tab/>
        <w:t>Whether and how to introduce information reporting for OOC analysis involving NPN network;</w:t>
      </w:r>
    </w:p>
    <w:p w14:paraId="7185EE06" w14:textId="77777777" w:rsidR="000525DC" w:rsidRPr="00957C36" w:rsidRDefault="000525DC" w:rsidP="000525DC">
      <w:pPr>
        <w:pStyle w:val="Doc-text2"/>
        <w:pBdr>
          <w:top w:val="single" w:sz="4" w:space="1" w:color="auto"/>
          <w:left w:val="single" w:sz="4" w:space="4" w:color="auto"/>
          <w:bottom w:val="single" w:sz="4" w:space="1" w:color="auto"/>
          <w:right w:val="single" w:sz="4" w:space="4" w:color="auto"/>
        </w:pBdr>
      </w:pPr>
      <w:r>
        <w:lastRenderedPageBreak/>
        <w:t>-</w:t>
      </w:r>
      <w:r>
        <w:tab/>
        <w:t>Whether and which to introduce other SON/MDT enhancements for NPN in this Release.</w:t>
      </w:r>
    </w:p>
    <w:p w14:paraId="1D3FD490" w14:textId="77777777" w:rsidR="000525DC" w:rsidRDefault="000525DC" w:rsidP="00A54D7D">
      <w:pPr>
        <w:pStyle w:val="BodyText"/>
        <w:jc w:val="left"/>
        <w:rPr>
          <w:rFonts w:cs="Arial"/>
        </w:rPr>
      </w:pPr>
    </w:p>
    <w:p w14:paraId="0446FCCF" w14:textId="65271EC1" w:rsidR="00014445" w:rsidRPr="00362042" w:rsidRDefault="00014445" w:rsidP="00A54D7D">
      <w:pPr>
        <w:pStyle w:val="BodyText"/>
        <w:jc w:val="left"/>
        <w:rPr>
          <w:rFonts w:cs="Arial"/>
        </w:rPr>
      </w:pPr>
      <w:r w:rsidRPr="001B737F">
        <w:rPr>
          <w:rFonts w:cs="Arial"/>
        </w:rPr>
        <w:t xml:space="preserve">This contribution aims to discuss </w:t>
      </w:r>
      <w:r>
        <w:rPr>
          <w:rFonts w:cs="Arial"/>
          <w:lang w:val="en-US"/>
        </w:rPr>
        <w:t>t</w:t>
      </w:r>
      <w:r w:rsidRPr="00362042">
        <w:rPr>
          <w:rFonts w:cs="Arial"/>
        </w:rPr>
        <w:t>he SON</w:t>
      </w:r>
      <w:r>
        <w:rPr>
          <w:rFonts w:cs="Arial"/>
        </w:rPr>
        <w:t xml:space="preserve"> and </w:t>
      </w:r>
      <w:r w:rsidRPr="00362042">
        <w:rPr>
          <w:rFonts w:cs="Arial"/>
        </w:rPr>
        <w:t>MDT enhancement</w:t>
      </w:r>
      <w:r>
        <w:rPr>
          <w:rFonts w:cs="Arial"/>
        </w:rPr>
        <w:t>s</w:t>
      </w:r>
      <w:r w:rsidRPr="00362042">
        <w:rPr>
          <w:rFonts w:cs="Arial"/>
        </w:rPr>
        <w:t xml:space="preserve"> </w:t>
      </w:r>
      <w:r>
        <w:rPr>
          <w:rFonts w:cs="Arial"/>
        </w:rPr>
        <w:t>for private networks optimization including</w:t>
      </w:r>
      <w:r w:rsidDel="0001539B">
        <w:rPr>
          <w:rFonts w:cs="Arial"/>
        </w:rPr>
        <w:t xml:space="preserve"> </w:t>
      </w:r>
      <w:r w:rsidRPr="00362042">
        <w:rPr>
          <w:rFonts w:cs="Arial"/>
        </w:rPr>
        <w:t>both SNPN and PNI-NPN scenarios</w:t>
      </w:r>
      <w:r>
        <w:rPr>
          <w:rFonts w:cs="Arial"/>
        </w:rPr>
        <w:t xml:space="preserve"> considering the above agreements and the FFSs into account</w:t>
      </w:r>
      <w:r w:rsidRPr="00362042">
        <w:rPr>
          <w:rFonts w:cs="Arial"/>
        </w:rPr>
        <w:t>.</w:t>
      </w:r>
    </w:p>
    <w:p w14:paraId="77FCF515" w14:textId="77777777" w:rsidR="00DC42AE" w:rsidRPr="003267B7" w:rsidRDefault="00DC42AE" w:rsidP="003267B7">
      <w:pPr>
        <w:rPr>
          <w:rFonts w:ascii="Arial" w:hAnsi="Arial"/>
          <w:lang w:eastAsia="zh-CN"/>
        </w:rPr>
      </w:pPr>
    </w:p>
    <w:p w14:paraId="59E13DC4" w14:textId="77777777" w:rsidR="004000E8" w:rsidRPr="00CE0424" w:rsidRDefault="00230D18" w:rsidP="00CE0424">
      <w:pPr>
        <w:pStyle w:val="Heading1"/>
      </w:pPr>
      <w:bookmarkStart w:id="0" w:name="_Ref178064866"/>
      <w:r>
        <w:t>2</w:t>
      </w:r>
      <w:r>
        <w:tab/>
      </w:r>
      <w:r w:rsidR="004000E8" w:rsidRPr="00CE0424">
        <w:t>Discussion</w:t>
      </w:r>
      <w:bookmarkEnd w:id="0"/>
    </w:p>
    <w:p w14:paraId="310B7BBE" w14:textId="5286C1B8" w:rsidR="00F63950" w:rsidRDefault="00230D18" w:rsidP="00F63950">
      <w:pPr>
        <w:pStyle w:val="Heading2"/>
      </w:pPr>
      <w:r>
        <w:t>2.1</w:t>
      </w:r>
      <w:r>
        <w:tab/>
      </w:r>
      <w:r w:rsidR="00FE2609">
        <w:t>Enhancements of SON Reports</w:t>
      </w:r>
    </w:p>
    <w:p w14:paraId="0C408F0E" w14:textId="3945B591" w:rsidR="0065789B" w:rsidRDefault="0065789B" w:rsidP="0065789B">
      <w:pPr>
        <w:pStyle w:val="Heading3"/>
      </w:pPr>
      <w:r>
        <w:t>2.1.1 Enhancements of RA report</w:t>
      </w:r>
    </w:p>
    <w:p w14:paraId="1591AC44" w14:textId="7C9571ED" w:rsidR="00B73703" w:rsidRPr="00CE0424" w:rsidRDefault="001F5F86" w:rsidP="00A54D7D">
      <w:pPr>
        <w:pStyle w:val="BodyText"/>
        <w:jc w:val="left"/>
      </w:pPr>
      <w:r>
        <w:t xml:space="preserve">In RAN2#120 meeting, the discussions </w:t>
      </w:r>
      <w:r w:rsidR="00510C06">
        <w:t>have</w:t>
      </w:r>
      <w:r>
        <w:t xml:space="preserve"> been around checking NID for RLF/HOF report. </w:t>
      </w:r>
      <w:r w:rsidR="0085242D">
        <w:t xml:space="preserve">In our opinion, it should be extended to </w:t>
      </w:r>
      <w:r w:rsidR="00F34259">
        <w:t>RA Report also.</w:t>
      </w:r>
    </w:p>
    <w:p w14:paraId="3CD9FA11" w14:textId="1EB39C87" w:rsidR="00F34259" w:rsidRDefault="00F34259" w:rsidP="00A54D7D">
      <w:pPr>
        <w:pStyle w:val="BodyText"/>
        <w:jc w:val="left"/>
      </w:pPr>
      <w:r>
        <w:t xml:space="preserve">As per current specifications, UE </w:t>
      </w:r>
      <w:r w:rsidR="00D21945">
        <w:t xml:space="preserve">checks the </w:t>
      </w:r>
      <w:r>
        <w:t xml:space="preserve">PLMN </w:t>
      </w:r>
      <w:r w:rsidR="00D21945">
        <w:t>information</w:t>
      </w:r>
      <w:r>
        <w:t xml:space="preserve"> to determine if t</w:t>
      </w:r>
      <w:r w:rsidR="00B61AFB">
        <w:t xml:space="preserve">he stored </w:t>
      </w:r>
      <w:r w:rsidR="007A503E">
        <w:t>variable should be cleared.</w:t>
      </w:r>
    </w:p>
    <w:p w14:paraId="2C53B40E" w14:textId="77777777" w:rsidR="000148E7" w:rsidRDefault="000148E7" w:rsidP="00A54D7D">
      <w:pPr>
        <w:pStyle w:val="B1"/>
        <w:pBdr>
          <w:top w:val="single" w:sz="4" w:space="1" w:color="auto"/>
          <w:left w:val="single" w:sz="4" w:space="4" w:color="auto"/>
          <w:bottom w:val="single" w:sz="4" w:space="1" w:color="auto"/>
          <w:right w:val="single" w:sz="4" w:space="4" w:color="auto"/>
        </w:pBdr>
        <w:jc w:val="left"/>
      </w:pPr>
      <w:r w:rsidRPr="00F10B4F">
        <w:t>1&gt;</w:t>
      </w:r>
      <w:r w:rsidRPr="00F10B4F">
        <w:tab/>
        <w:t xml:space="preserve">if the RPLMN or the PLMN selected by upper layers (see TS24.501 [23]) from the PLMN(s) included in the </w:t>
      </w:r>
      <w:proofErr w:type="spellStart"/>
      <w:r w:rsidRPr="00F10B4F">
        <w:rPr>
          <w:i/>
          <w:iCs/>
        </w:rPr>
        <w:t>plmn-IdentityList</w:t>
      </w:r>
      <w:proofErr w:type="spellEnd"/>
      <w:r w:rsidRPr="00F10B4F">
        <w:t xml:space="preserve"> in </w:t>
      </w:r>
      <w:r w:rsidRPr="00F10B4F">
        <w:rPr>
          <w:i/>
          <w:iCs/>
        </w:rPr>
        <w:t>SIB1</w:t>
      </w:r>
      <w:r w:rsidRPr="00F10B4F">
        <w:t xml:space="preserve"> is not included in </w:t>
      </w:r>
      <w:proofErr w:type="spellStart"/>
      <w:r w:rsidRPr="00F10B4F">
        <w:rPr>
          <w:i/>
          <w:iCs/>
        </w:rPr>
        <w:t>plmn-IdentityList</w:t>
      </w:r>
      <w:proofErr w:type="spellEnd"/>
      <w:r w:rsidRPr="00F10B4F">
        <w:t xml:space="preserve"> stored in a non-empty </w:t>
      </w:r>
      <w:proofErr w:type="spellStart"/>
      <w:r w:rsidRPr="00F10B4F">
        <w:rPr>
          <w:i/>
          <w:iCs/>
        </w:rPr>
        <w:t>VarRA</w:t>
      </w:r>
      <w:proofErr w:type="spellEnd"/>
      <w:r w:rsidRPr="00F10B4F">
        <w:rPr>
          <w:i/>
          <w:iCs/>
        </w:rPr>
        <w:t>-Report</w:t>
      </w:r>
      <w:r w:rsidRPr="00F10B4F">
        <w:t>:</w:t>
      </w:r>
    </w:p>
    <w:p w14:paraId="7856A278" w14:textId="556F0615" w:rsidR="000148E7" w:rsidRPr="00F10B4F" w:rsidRDefault="007A503E" w:rsidP="00A54D7D">
      <w:pPr>
        <w:pStyle w:val="B1"/>
        <w:pBdr>
          <w:top w:val="single" w:sz="4" w:space="1" w:color="auto"/>
          <w:left w:val="single" w:sz="4" w:space="4" w:color="auto"/>
          <w:bottom w:val="single" w:sz="4" w:space="1" w:color="auto"/>
          <w:right w:val="single" w:sz="4" w:space="4" w:color="auto"/>
        </w:pBdr>
        <w:jc w:val="left"/>
      </w:pPr>
      <w:r>
        <w:t xml:space="preserve">      </w:t>
      </w:r>
      <w:r w:rsidR="000148E7" w:rsidRPr="00F10B4F">
        <w:t>2&gt;</w:t>
      </w:r>
      <w:r>
        <w:t xml:space="preserve"> </w:t>
      </w:r>
      <w:r w:rsidR="000148E7" w:rsidRPr="00F10B4F">
        <w:t xml:space="preserve">clear the information included in </w:t>
      </w:r>
      <w:proofErr w:type="spellStart"/>
      <w:r w:rsidR="000148E7" w:rsidRPr="00F10B4F">
        <w:rPr>
          <w:i/>
        </w:rPr>
        <w:t>VarRA</w:t>
      </w:r>
      <w:proofErr w:type="spellEnd"/>
      <w:r w:rsidR="000148E7" w:rsidRPr="00F10B4F">
        <w:rPr>
          <w:i/>
        </w:rPr>
        <w:t>-</w:t>
      </w:r>
      <w:proofErr w:type="gramStart"/>
      <w:r w:rsidR="000148E7" w:rsidRPr="00F10B4F">
        <w:rPr>
          <w:i/>
        </w:rPr>
        <w:t>Report</w:t>
      </w:r>
      <w:r w:rsidR="000148E7" w:rsidRPr="00F10B4F">
        <w:t>;</w:t>
      </w:r>
      <w:proofErr w:type="gramEnd"/>
    </w:p>
    <w:p w14:paraId="7FB95685" w14:textId="77777777" w:rsidR="005859F0" w:rsidRDefault="005859F0" w:rsidP="00A54D7D">
      <w:pPr>
        <w:pStyle w:val="BodyText"/>
        <w:jc w:val="left"/>
      </w:pPr>
    </w:p>
    <w:p w14:paraId="06598A93" w14:textId="3E5F7AAC" w:rsidR="00B61AFB" w:rsidRDefault="007A503E" w:rsidP="00A54D7D">
      <w:pPr>
        <w:pStyle w:val="BodyText"/>
        <w:jc w:val="left"/>
      </w:pPr>
      <w:r>
        <w:t xml:space="preserve">However, </w:t>
      </w:r>
      <w:r w:rsidR="00464D11">
        <w:t>if the UE moves between</w:t>
      </w:r>
      <w:r w:rsidR="00661744">
        <w:t xml:space="preserve"> </w:t>
      </w:r>
      <w:r w:rsidR="00E723F5">
        <w:t>SNPN</w:t>
      </w:r>
      <w:r w:rsidR="00355E39">
        <w:t>-</w:t>
      </w:r>
      <w:r w:rsidR="00E723F5">
        <w:t>1 and SNPN</w:t>
      </w:r>
      <w:r w:rsidR="00355E39">
        <w:t>-</w:t>
      </w:r>
      <w:r w:rsidR="00E723F5">
        <w:t>2</w:t>
      </w:r>
      <w:r w:rsidR="00B704F7">
        <w:t xml:space="preserve">, </w:t>
      </w:r>
      <w:r w:rsidR="00355E39">
        <w:t>current specifications does not restrict the UE to log RA report for SNPN-1 into RA report for SNPN-2.</w:t>
      </w:r>
      <w:r w:rsidR="00762AD1">
        <w:t xml:space="preserve"> </w:t>
      </w:r>
      <w:r w:rsidR="00697DFF">
        <w:t xml:space="preserve">This is against RACH </w:t>
      </w:r>
      <w:r w:rsidR="00E743C6">
        <w:t>principle</w:t>
      </w:r>
      <w:r w:rsidR="00697DFF">
        <w:t xml:space="preserve"> and needs to be blocked at the UE.</w:t>
      </w:r>
    </w:p>
    <w:p w14:paraId="6E5196E3" w14:textId="032E9A36" w:rsidR="00924C04" w:rsidRPr="00924C04" w:rsidRDefault="00A75CE5" w:rsidP="00924C04">
      <w:pPr>
        <w:pStyle w:val="Proposal"/>
        <w:numPr>
          <w:ilvl w:val="0"/>
          <w:numId w:val="3"/>
        </w:numPr>
        <w:jc w:val="left"/>
        <w:rPr>
          <w:lang w:val="en-US"/>
        </w:rPr>
      </w:pPr>
      <w:bookmarkStart w:id="1" w:name="_Toc149818235"/>
      <w:r w:rsidRPr="00D84A83">
        <w:rPr>
          <w:lang w:val="en-US"/>
        </w:rPr>
        <w:t xml:space="preserve">Upon logging the </w:t>
      </w:r>
      <w:r w:rsidR="007D4360" w:rsidRPr="00D84A83">
        <w:rPr>
          <w:lang w:val="en-US"/>
        </w:rPr>
        <w:t>RA report for a new SNPN, the UE deletes the existing RA reports</w:t>
      </w:r>
      <w:r w:rsidR="007E3688">
        <w:rPr>
          <w:lang w:val="en-US"/>
        </w:rPr>
        <w:t xml:space="preserve"> in </w:t>
      </w:r>
      <w:proofErr w:type="spellStart"/>
      <w:r w:rsidR="00DC1718">
        <w:rPr>
          <w:lang w:val="en-US"/>
        </w:rPr>
        <w:t>Var</w:t>
      </w:r>
      <w:r w:rsidR="007E3688">
        <w:rPr>
          <w:lang w:val="en-US"/>
        </w:rPr>
        <w:t>RA</w:t>
      </w:r>
      <w:proofErr w:type="spellEnd"/>
      <w:r w:rsidR="007E3688">
        <w:rPr>
          <w:lang w:val="en-US"/>
        </w:rPr>
        <w:t xml:space="preserve">-Report </w:t>
      </w:r>
      <w:r w:rsidR="00741D27">
        <w:rPr>
          <w:lang w:val="en-US"/>
        </w:rPr>
        <w:t xml:space="preserve">if </w:t>
      </w:r>
      <w:r w:rsidR="007E3688">
        <w:rPr>
          <w:lang w:val="en-US"/>
        </w:rPr>
        <w:t xml:space="preserve">collected </w:t>
      </w:r>
      <w:r w:rsidR="00741D27">
        <w:rPr>
          <w:lang w:val="en-US"/>
        </w:rPr>
        <w:t>in</w:t>
      </w:r>
      <w:r w:rsidR="000E583A" w:rsidRPr="00D84A83">
        <w:rPr>
          <w:lang w:val="en-US"/>
        </w:rPr>
        <w:t xml:space="preserve"> non-equivalent</w:t>
      </w:r>
      <w:r w:rsidR="007D4360" w:rsidRPr="00D84A83">
        <w:rPr>
          <w:lang w:val="en-US"/>
        </w:rPr>
        <w:t xml:space="preserve"> </w:t>
      </w:r>
      <w:r w:rsidR="007D4360" w:rsidRPr="00924C04">
        <w:rPr>
          <w:lang w:val="en-US"/>
        </w:rPr>
        <w:t>SNPNs</w:t>
      </w:r>
      <w:r w:rsidR="00ED4809" w:rsidRPr="00924C04">
        <w:rPr>
          <w:lang w:val="en-US"/>
        </w:rPr>
        <w:t>/PLMN</w:t>
      </w:r>
      <w:r w:rsidR="007E3688">
        <w:rPr>
          <w:lang w:val="en-US"/>
        </w:rPr>
        <w:t>)</w:t>
      </w:r>
      <w:r w:rsidR="007D4360" w:rsidRPr="00924C04">
        <w:rPr>
          <w:lang w:val="en-US"/>
        </w:rPr>
        <w:t>.</w:t>
      </w:r>
      <w:bookmarkEnd w:id="1"/>
    </w:p>
    <w:p w14:paraId="1A3E1E5D" w14:textId="027219BA" w:rsidR="00FD26F4" w:rsidRDefault="0065789B" w:rsidP="0065789B">
      <w:pPr>
        <w:pStyle w:val="Heading3"/>
      </w:pPr>
      <w:r>
        <w:t>2.1.2 Enhancements of the RLF/HOF report</w:t>
      </w:r>
    </w:p>
    <w:p w14:paraId="18527705" w14:textId="59A2A85D" w:rsidR="0065789B" w:rsidRDefault="0065789B" w:rsidP="0065789B">
      <w:pPr>
        <w:rPr>
          <w:rFonts w:ascii="Arial" w:hAnsi="Arial" w:cs="Arial"/>
        </w:rPr>
      </w:pPr>
      <w:r w:rsidRPr="0065789B">
        <w:rPr>
          <w:rFonts w:ascii="Arial" w:hAnsi="Arial" w:cs="Arial"/>
        </w:rPr>
        <w:t>An FFS under discussion is to how to include CAG information in the RLF/HOF report.</w:t>
      </w:r>
      <w:r w:rsidR="00FF5867">
        <w:rPr>
          <w:rFonts w:ascii="Arial" w:hAnsi="Arial" w:cs="Arial"/>
        </w:rPr>
        <w:t xml:space="preserve"> The following options are under discussion-</w:t>
      </w:r>
    </w:p>
    <w:p w14:paraId="1560DB60" w14:textId="6C75740D" w:rsidR="00FF5867" w:rsidRPr="00FF5867" w:rsidRDefault="00FF5867" w:rsidP="00FF5867">
      <w:pPr>
        <w:rPr>
          <w:rFonts w:ascii="Arial" w:hAnsi="Arial" w:cs="Arial"/>
        </w:rPr>
      </w:pPr>
      <w:r w:rsidRPr="00FF5867">
        <w:rPr>
          <w:rFonts w:ascii="Arial" w:hAnsi="Arial" w:cs="Arial"/>
        </w:rPr>
        <w:t>-</w:t>
      </w:r>
      <w:r w:rsidRPr="00FF5867">
        <w:rPr>
          <w:rFonts w:ascii="Arial" w:hAnsi="Arial" w:cs="Arial"/>
        </w:rPr>
        <w:tab/>
        <w:t xml:space="preserve">Option 1: CAG subscription </w:t>
      </w:r>
      <w:r w:rsidR="00E743C6">
        <w:rPr>
          <w:rFonts w:ascii="Arial" w:hAnsi="Arial" w:cs="Arial"/>
        </w:rPr>
        <w:t>status</w:t>
      </w:r>
      <w:r w:rsidRPr="00FF5867">
        <w:rPr>
          <w:rFonts w:ascii="Arial" w:hAnsi="Arial" w:cs="Arial"/>
        </w:rPr>
        <w:t xml:space="preserve"> indication (if the UE has subscription with any of the CAG IDs broadcast by the cell, and whether the UE only allowed to access CAG cells</w:t>
      </w:r>
      <w:proofErr w:type="gramStart"/>
      <w:r w:rsidRPr="00FF5867">
        <w:rPr>
          <w:rFonts w:ascii="Arial" w:hAnsi="Arial" w:cs="Arial"/>
        </w:rPr>
        <w:t>);</w:t>
      </w:r>
      <w:proofErr w:type="gramEnd"/>
      <w:r w:rsidRPr="00FF5867">
        <w:rPr>
          <w:rFonts w:ascii="Arial" w:hAnsi="Arial" w:cs="Arial"/>
        </w:rPr>
        <w:t xml:space="preserve"> </w:t>
      </w:r>
    </w:p>
    <w:p w14:paraId="3FCCB6D0" w14:textId="6CC7BC38" w:rsidR="00FF5867" w:rsidRPr="00FF5867" w:rsidRDefault="00FF5867" w:rsidP="00FF5867">
      <w:pPr>
        <w:rPr>
          <w:rFonts w:ascii="Arial" w:hAnsi="Arial" w:cs="Arial"/>
        </w:rPr>
      </w:pPr>
      <w:r w:rsidRPr="00FF5867">
        <w:rPr>
          <w:rFonts w:ascii="Arial" w:hAnsi="Arial" w:cs="Arial"/>
        </w:rPr>
        <w:t>-</w:t>
      </w:r>
      <w:r w:rsidRPr="00FF5867">
        <w:rPr>
          <w:rFonts w:ascii="Arial" w:hAnsi="Arial" w:cs="Arial"/>
        </w:rPr>
        <w:tab/>
        <w:t>Option 2: CAG-only indication</w:t>
      </w:r>
    </w:p>
    <w:p w14:paraId="5021D7C5" w14:textId="458CB2CB" w:rsidR="00FF5867" w:rsidRDefault="00FF5867" w:rsidP="00FF5867">
      <w:pPr>
        <w:rPr>
          <w:rFonts w:ascii="Arial" w:hAnsi="Arial" w:cs="Arial"/>
        </w:rPr>
      </w:pPr>
      <w:r w:rsidRPr="00FF5867">
        <w:rPr>
          <w:rFonts w:ascii="Arial" w:hAnsi="Arial" w:cs="Arial"/>
        </w:rPr>
        <w:t>-</w:t>
      </w:r>
      <w:r w:rsidRPr="00FF5867">
        <w:rPr>
          <w:rFonts w:ascii="Arial" w:hAnsi="Arial" w:cs="Arial"/>
        </w:rPr>
        <w:tab/>
        <w:t>Option 3: Other information, if any.</w:t>
      </w:r>
    </w:p>
    <w:p w14:paraId="41B3F8BA" w14:textId="4D3CD06B" w:rsidR="00FF5867" w:rsidRDefault="00FF5867" w:rsidP="00FF5867">
      <w:pPr>
        <w:rPr>
          <w:rFonts w:ascii="Arial" w:hAnsi="Arial" w:cs="Arial"/>
        </w:rPr>
      </w:pPr>
    </w:p>
    <w:p w14:paraId="31148A50" w14:textId="290368E2" w:rsidR="009C5485" w:rsidRDefault="009C5485" w:rsidP="00FF5867">
      <w:pPr>
        <w:rPr>
          <w:rFonts w:ascii="Arial" w:hAnsi="Arial" w:cs="Arial"/>
        </w:rPr>
      </w:pPr>
      <w:r>
        <w:rPr>
          <w:rFonts w:ascii="Arial" w:hAnsi="Arial" w:cs="Arial"/>
        </w:rPr>
        <w:t>In our observation, neither option 1 nor option 2 provides any clear benefits for MRO purposes. From the indication, network can find the UEs CAG subscription status and if the UE is a CAG-only UE or not. Although this adds observability to the network, it does not aid in MRO.</w:t>
      </w:r>
      <w:r w:rsidR="000C73CE">
        <w:rPr>
          <w:rFonts w:ascii="Arial" w:hAnsi="Arial" w:cs="Arial"/>
        </w:rPr>
        <w:t xml:space="preserve"> In addition</w:t>
      </w:r>
      <w:r w:rsidR="00F40293">
        <w:rPr>
          <w:rFonts w:ascii="Arial" w:hAnsi="Arial" w:cs="Arial"/>
        </w:rPr>
        <w:t>,</w:t>
      </w:r>
      <w:r w:rsidR="000C73CE">
        <w:rPr>
          <w:rFonts w:ascii="Arial" w:hAnsi="Arial" w:cs="Arial"/>
        </w:rPr>
        <w:t xml:space="preserve"> RAN </w:t>
      </w:r>
      <w:r w:rsidR="0015281E">
        <w:rPr>
          <w:rFonts w:ascii="Arial" w:hAnsi="Arial" w:cs="Arial"/>
        </w:rPr>
        <w:t>may not be necessarily</w:t>
      </w:r>
      <w:r w:rsidR="000C73CE">
        <w:rPr>
          <w:rFonts w:ascii="Arial" w:hAnsi="Arial" w:cs="Arial"/>
        </w:rPr>
        <w:t xml:space="preserve"> aware about the UE subscription </w:t>
      </w:r>
      <w:proofErr w:type="gramStart"/>
      <w:r w:rsidR="000C73CE">
        <w:rPr>
          <w:rFonts w:ascii="Arial" w:hAnsi="Arial" w:cs="Arial"/>
        </w:rPr>
        <w:t>status</w:t>
      </w:r>
      <w:proofErr w:type="gramEnd"/>
      <w:r w:rsidR="000C73CE">
        <w:rPr>
          <w:rFonts w:ascii="Arial" w:hAnsi="Arial" w:cs="Arial"/>
        </w:rPr>
        <w:t xml:space="preserve"> and we are uncertain about potential concern from privacy point of view</w:t>
      </w:r>
      <w:r w:rsidR="00B80733">
        <w:rPr>
          <w:rFonts w:ascii="Arial" w:hAnsi="Arial" w:cs="Arial"/>
        </w:rPr>
        <w:t>.</w:t>
      </w:r>
    </w:p>
    <w:p w14:paraId="25BCAF69" w14:textId="12A80D43" w:rsidR="009C5485" w:rsidRDefault="009C5485" w:rsidP="009C5485">
      <w:pPr>
        <w:pStyle w:val="Observation"/>
        <w:jc w:val="left"/>
        <w:rPr>
          <w:rStyle w:val="IvDbodytextChar"/>
          <w:rFonts w:cs="Arial"/>
        </w:rPr>
      </w:pPr>
      <w:bookmarkStart w:id="2" w:name="_Toc149818204"/>
      <w:r>
        <w:rPr>
          <w:rStyle w:val="IvDbodytextChar"/>
          <w:rFonts w:cs="Arial"/>
        </w:rPr>
        <w:t>Inclusion of CAG information in RLF/HOF report may be used for observability purpose but has no clear benefit for MRO.</w:t>
      </w:r>
      <w:bookmarkEnd w:id="2"/>
    </w:p>
    <w:p w14:paraId="4DE09245" w14:textId="68536806" w:rsidR="009C5485" w:rsidRPr="00875A6B" w:rsidRDefault="009C5485" w:rsidP="009C5485">
      <w:pPr>
        <w:pStyle w:val="Proposal"/>
        <w:jc w:val="left"/>
      </w:pPr>
      <w:bookmarkStart w:id="3" w:name="_Toc149818236"/>
      <w:r>
        <w:rPr>
          <w:lang w:val="en-US"/>
        </w:rPr>
        <w:t>UE does not add CAG information in the RLF/HOF report.</w:t>
      </w:r>
      <w:bookmarkEnd w:id="3"/>
    </w:p>
    <w:p w14:paraId="6F52930F" w14:textId="77777777" w:rsidR="009C5485" w:rsidRDefault="009C5485" w:rsidP="00FF5867">
      <w:pPr>
        <w:rPr>
          <w:rFonts w:ascii="Arial" w:hAnsi="Arial" w:cs="Arial"/>
        </w:rPr>
      </w:pPr>
    </w:p>
    <w:p w14:paraId="0075DE50" w14:textId="5DE89D80" w:rsidR="00FF5867" w:rsidRPr="0065789B" w:rsidRDefault="00FF5867" w:rsidP="00FF5867">
      <w:pPr>
        <w:rPr>
          <w:rFonts w:ascii="Arial" w:hAnsi="Arial" w:cs="Arial"/>
        </w:rPr>
      </w:pPr>
    </w:p>
    <w:p w14:paraId="5004B4B7" w14:textId="4DEAE72E" w:rsidR="00DA769A" w:rsidRPr="0083435D" w:rsidRDefault="0083435D" w:rsidP="0083435D">
      <w:pPr>
        <w:pStyle w:val="Heading2"/>
        <w:rPr>
          <w:rStyle w:val="IvDbodytextChar"/>
          <w:spacing w:val="0"/>
          <w:lang w:val="en-GB" w:eastAsia="ja-JP"/>
        </w:rPr>
      </w:pPr>
      <w:r>
        <w:rPr>
          <w:rStyle w:val="IvDbodytextChar"/>
          <w:spacing w:val="0"/>
          <w:lang w:val="en-GB" w:eastAsia="ja-JP"/>
        </w:rPr>
        <w:lastRenderedPageBreak/>
        <w:t>2.3</w:t>
      </w:r>
      <w:r>
        <w:rPr>
          <w:rStyle w:val="IvDbodytextChar"/>
          <w:spacing w:val="0"/>
          <w:lang w:val="en-GB" w:eastAsia="ja-JP"/>
        </w:rPr>
        <w:tab/>
      </w:r>
      <w:r w:rsidR="00DA769A" w:rsidRPr="0083435D">
        <w:rPr>
          <w:rStyle w:val="IvDbodytextChar"/>
          <w:spacing w:val="0"/>
          <w:lang w:val="en-GB" w:eastAsia="ja-JP"/>
        </w:rPr>
        <w:t xml:space="preserve">Enhancements for </w:t>
      </w:r>
      <w:proofErr w:type="spellStart"/>
      <w:r w:rsidRPr="0083435D">
        <w:rPr>
          <w:rStyle w:val="IvDbodytextChar"/>
          <w:spacing w:val="0"/>
          <w:lang w:val="en-GB" w:eastAsia="ja-JP"/>
        </w:rPr>
        <w:t>OoC</w:t>
      </w:r>
      <w:proofErr w:type="spellEnd"/>
      <w:r w:rsidRPr="0083435D">
        <w:rPr>
          <w:rStyle w:val="IvDbodytextChar"/>
          <w:spacing w:val="0"/>
          <w:lang w:val="en-GB" w:eastAsia="ja-JP"/>
        </w:rPr>
        <w:t xml:space="preserve"> events</w:t>
      </w:r>
    </w:p>
    <w:p w14:paraId="21BF0979" w14:textId="5B690132" w:rsidR="00D865D7" w:rsidRDefault="00D865D7" w:rsidP="009F2408">
      <w:pPr>
        <w:pStyle w:val="IvDInstructiontext"/>
        <w:jc w:val="both"/>
        <w:rPr>
          <w:rStyle w:val="IvDbodytextChar"/>
          <w:rFonts w:cs="Arial"/>
          <w:i w:val="0"/>
          <w:color w:val="auto"/>
          <w:sz w:val="20"/>
          <w:szCs w:val="20"/>
        </w:rPr>
      </w:pPr>
      <w:r>
        <w:rPr>
          <w:rStyle w:val="IvDbodytextChar"/>
          <w:rFonts w:cs="Arial"/>
          <w:i w:val="0"/>
          <w:color w:val="auto"/>
          <w:sz w:val="20"/>
          <w:szCs w:val="20"/>
        </w:rPr>
        <w:t xml:space="preserve">In addition, </w:t>
      </w:r>
      <w:r w:rsidRPr="008071ED">
        <w:rPr>
          <w:rStyle w:val="IvDbodytextChar"/>
          <w:rFonts w:cs="Arial"/>
          <w:i w:val="0"/>
          <w:color w:val="auto"/>
          <w:sz w:val="20"/>
          <w:szCs w:val="20"/>
        </w:rPr>
        <w:t>some companies proposed to discuss out of coverage (</w:t>
      </w:r>
      <w:proofErr w:type="spellStart"/>
      <w:r w:rsidRPr="008071ED">
        <w:rPr>
          <w:rStyle w:val="IvDbodytextChar"/>
          <w:rFonts w:cs="Arial"/>
          <w:i w:val="0"/>
          <w:color w:val="auto"/>
          <w:sz w:val="20"/>
          <w:szCs w:val="20"/>
        </w:rPr>
        <w:t>OoC</w:t>
      </w:r>
      <w:proofErr w:type="spellEnd"/>
      <w:r w:rsidRPr="008071ED">
        <w:rPr>
          <w:rStyle w:val="IvDbodytextChar"/>
          <w:rFonts w:cs="Arial"/>
          <w:i w:val="0"/>
          <w:color w:val="auto"/>
          <w:sz w:val="20"/>
          <w:szCs w:val="20"/>
        </w:rPr>
        <w:t xml:space="preserve">) in MDT report when UE is detecting coverage holes e.g., an area </w:t>
      </w:r>
      <w:r w:rsidR="00672459">
        <w:rPr>
          <w:rStyle w:val="IvDbodytextChar"/>
          <w:rFonts w:cs="Arial"/>
          <w:i w:val="0"/>
          <w:color w:val="auto"/>
          <w:sz w:val="20"/>
          <w:szCs w:val="20"/>
        </w:rPr>
        <w:t xml:space="preserve">in </w:t>
      </w:r>
      <w:proofErr w:type="gramStart"/>
      <w:r w:rsidR="00672459">
        <w:rPr>
          <w:rStyle w:val="IvDbodytextChar"/>
          <w:rFonts w:cs="Arial"/>
          <w:i w:val="0"/>
          <w:color w:val="auto"/>
          <w:sz w:val="20"/>
          <w:szCs w:val="20"/>
        </w:rPr>
        <w:t xml:space="preserve">which </w:t>
      </w:r>
      <w:r w:rsidRPr="008071ED">
        <w:rPr>
          <w:rStyle w:val="IvDbodytextChar"/>
          <w:rFonts w:cs="Arial"/>
          <w:i w:val="0"/>
          <w:color w:val="auto"/>
          <w:sz w:val="20"/>
          <w:szCs w:val="20"/>
        </w:rPr>
        <w:t xml:space="preserve"> no</w:t>
      </w:r>
      <w:proofErr w:type="gramEnd"/>
      <w:r w:rsidRPr="008071ED">
        <w:rPr>
          <w:rStyle w:val="IvDbodytextChar"/>
          <w:rFonts w:cs="Arial"/>
          <w:i w:val="0"/>
          <w:color w:val="auto"/>
          <w:sz w:val="20"/>
          <w:szCs w:val="20"/>
        </w:rPr>
        <w:t xml:space="preserve"> sufficient signal level is detected by UE for accessing specific services. In our opinion, when there is no suitable cell for a UE to camp on while the UE is requested to access a specific service</w:t>
      </w:r>
      <w:r>
        <w:rPr>
          <w:rStyle w:val="IvDbodytextChar"/>
          <w:rFonts w:cs="Arial"/>
          <w:i w:val="0"/>
          <w:color w:val="auto"/>
          <w:sz w:val="20"/>
          <w:szCs w:val="20"/>
        </w:rPr>
        <w:t xml:space="preserve"> (e.g., from upper layers)</w:t>
      </w:r>
      <w:r w:rsidRPr="008071ED">
        <w:rPr>
          <w:rStyle w:val="IvDbodytextChar"/>
          <w:rFonts w:cs="Arial"/>
          <w:i w:val="0"/>
          <w:color w:val="auto"/>
          <w:sz w:val="20"/>
          <w:szCs w:val="20"/>
        </w:rPr>
        <w:t xml:space="preserve">, the UE logs an </w:t>
      </w:r>
      <w:proofErr w:type="spellStart"/>
      <w:r w:rsidRPr="008071ED">
        <w:rPr>
          <w:rStyle w:val="IvDbodytextChar"/>
          <w:rFonts w:cs="Arial"/>
          <w:i w:val="0"/>
          <w:color w:val="auto"/>
          <w:sz w:val="20"/>
          <w:szCs w:val="20"/>
        </w:rPr>
        <w:t>OoC</w:t>
      </w:r>
      <w:proofErr w:type="spellEnd"/>
      <w:r w:rsidRPr="008071ED">
        <w:rPr>
          <w:rStyle w:val="IvDbodytextChar"/>
          <w:rFonts w:cs="Arial"/>
          <w:i w:val="0"/>
          <w:color w:val="auto"/>
          <w:sz w:val="20"/>
          <w:szCs w:val="20"/>
        </w:rPr>
        <w:t xml:space="preserve"> indication in either RA report or CEF or new report. With this information, the network can identify the </w:t>
      </w:r>
      <w:proofErr w:type="spellStart"/>
      <w:r w:rsidRPr="008071ED">
        <w:rPr>
          <w:rStyle w:val="IvDbodytextChar"/>
          <w:rFonts w:cs="Arial"/>
          <w:i w:val="0"/>
          <w:color w:val="auto"/>
          <w:sz w:val="20"/>
          <w:szCs w:val="20"/>
        </w:rPr>
        <w:t>OoC</w:t>
      </w:r>
      <w:proofErr w:type="spellEnd"/>
      <w:r w:rsidRPr="008071ED">
        <w:rPr>
          <w:rStyle w:val="IvDbodytextChar"/>
          <w:rFonts w:cs="Arial"/>
          <w:i w:val="0"/>
          <w:color w:val="auto"/>
          <w:sz w:val="20"/>
          <w:szCs w:val="20"/>
        </w:rPr>
        <w:t xml:space="preserve"> for NPN. </w:t>
      </w:r>
      <w:r>
        <w:rPr>
          <w:rStyle w:val="IvDbodytextChar"/>
          <w:rFonts w:cs="Arial"/>
          <w:i w:val="0"/>
          <w:color w:val="auto"/>
          <w:sz w:val="20"/>
          <w:szCs w:val="20"/>
        </w:rPr>
        <w:t xml:space="preserve">It is worthwhile to mention that particularly in scenarios that the upper layers (e.g., an SNPN service/application) request the UE to join an SNPN network and UE find no suitable cell for the requested SNPN, there might not be an appropriate logged MDT configuration from the same network at the UE to log the </w:t>
      </w:r>
      <w:proofErr w:type="spellStart"/>
      <w:r>
        <w:rPr>
          <w:rStyle w:val="IvDbodytextChar"/>
          <w:rFonts w:cs="Arial"/>
          <w:i w:val="0"/>
          <w:color w:val="auto"/>
          <w:sz w:val="20"/>
          <w:szCs w:val="20"/>
        </w:rPr>
        <w:t>OoC</w:t>
      </w:r>
      <w:proofErr w:type="spellEnd"/>
      <w:r>
        <w:rPr>
          <w:rStyle w:val="IvDbodytextChar"/>
          <w:rFonts w:cs="Arial"/>
          <w:i w:val="0"/>
          <w:color w:val="auto"/>
          <w:sz w:val="20"/>
          <w:szCs w:val="20"/>
        </w:rPr>
        <w:t xml:space="preserve"> event in the corresponding MDT report. Hence for such critical scenarios (in which the SNPN applications request the UE to register to an SNPN network) we cannot rely on the MDT reports.</w:t>
      </w:r>
      <w:r w:rsidRPr="008071ED">
        <w:rPr>
          <w:rStyle w:val="IvDbodytextChar"/>
          <w:rFonts w:cs="Arial"/>
          <w:i w:val="0"/>
          <w:color w:val="auto"/>
          <w:sz w:val="20"/>
          <w:szCs w:val="20"/>
        </w:rPr>
        <w:t xml:space="preserve"> Hence, we propose</w:t>
      </w:r>
      <w:r>
        <w:rPr>
          <w:rStyle w:val="IvDbodytextChar"/>
          <w:rFonts w:cs="Arial"/>
          <w:i w:val="0"/>
          <w:color w:val="auto"/>
          <w:sz w:val="20"/>
          <w:szCs w:val="20"/>
        </w:rPr>
        <w:t>:</w:t>
      </w:r>
    </w:p>
    <w:p w14:paraId="38DB3E53" w14:textId="77777777" w:rsidR="00D865D7" w:rsidRDefault="00D865D7" w:rsidP="00A54D7D">
      <w:pPr>
        <w:pStyle w:val="IvDInstructiontext"/>
        <w:rPr>
          <w:rStyle w:val="IvDbodytextChar"/>
          <w:rFonts w:cs="Arial"/>
          <w:i w:val="0"/>
          <w:color w:val="auto"/>
          <w:sz w:val="20"/>
          <w:szCs w:val="20"/>
        </w:rPr>
      </w:pPr>
    </w:p>
    <w:p w14:paraId="4DF2C80C" w14:textId="65361A88" w:rsidR="00D865D7" w:rsidRDefault="00B765C1" w:rsidP="00A54D7D">
      <w:pPr>
        <w:pStyle w:val="Proposal"/>
        <w:jc w:val="left"/>
        <w:rPr>
          <w:rFonts w:cs="Arial"/>
        </w:rPr>
      </w:pPr>
      <w:bookmarkStart w:id="4" w:name="_Toc134717603"/>
      <w:bookmarkStart w:id="5" w:name="_Toc149818237"/>
      <w:r>
        <w:rPr>
          <w:rFonts w:cs="Arial"/>
          <w:lang w:val="en-US"/>
        </w:rPr>
        <w:t>UE</w:t>
      </w:r>
      <w:r w:rsidR="00D865D7">
        <w:rPr>
          <w:rFonts w:cs="Arial"/>
          <w:lang w:val="en-US"/>
        </w:rPr>
        <w:t xml:space="preserve"> log</w:t>
      </w:r>
      <w:r>
        <w:rPr>
          <w:rFonts w:cs="Arial"/>
          <w:lang w:val="en-US"/>
        </w:rPr>
        <w:t>s</w:t>
      </w:r>
      <w:r w:rsidR="00D865D7">
        <w:rPr>
          <w:rFonts w:cs="Arial"/>
          <w:lang w:val="en-US"/>
        </w:rPr>
        <w:t xml:space="preserve"> </w:t>
      </w:r>
      <w:r w:rsidR="003F571C">
        <w:rPr>
          <w:rFonts w:cs="Arial"/>
        </w:rPr>
        <w:t>the information</w:t>
      </w:r>
      <w:r w:rsidR="00FB6DD4">
        <w:rPr>
          <w:rFonts w:cs="Arial"/>
        </w:rPr>
        <w:t xml:space="preserve"> of the location</w:t>
      </w:r>
      <w:r w:rsidR="003F571C">
        <w:rPr>
          <w:rFonts w:cs="Arial"/>
        </w:rPr>
        <w:t xml:space="preserve"> </w:t>
      </w:r>
      <w:r w:rsidR="00D1450C" w:rsidRPr="008223C1">
        <w:rPr>
          <w:rFonts w:cs="Arial"/>
        </w:rPr>
        <w:t>wherein</w:t>
      </w:r>
      <w:r w:rsidR="001E3E2E" w:rsidRPr="008223C1">
        <w:rPr>
          <w:rFonts w:cs="Arial"/>
        </w:rPr>
        <w:t xml:space="preserve"> </w:t>
      </w:r>
      <w:r w:rsidR="0085230E">
        <w:rPr>
          <w:rFonts w:cs="Arial"/>
        </w:rPr>
        <w:t>SNPN access</w:t>
      </w:r>
      <w:r w:rsidR="00D1450C" w:rsidRPr="008223C1">
        <w:rPr>
          <w:rFonts w:cs="Arial"/>
        </w:rPr>
        <w:t xml:space="preserve"> failed due to </w:t>
      </w:r>
      <w:proofErr w:type="spellStart"/>
      <w:r w:rsidR="00D1450C" w:rsidRPr="008223C1">
        <w:rPr>
          <w:rFonts w:cs="Arial"/>
        </w:rPr>
        <w:t>OoC</w:t>
      </w:r>
      <w:proofErr w:type="spellEnd"/>
      <w:r w:rsidR="009A363A">
        <w:rPr>
          <w:rFonts w:cs="Arial"/>
        </w:rPr>
        <w:t>,</w:t>
      </w:r>
      <w:r w:rsidR="00D865D7" w:rsidRPr="008223C1">
        <w:rPr>
          <w:rFonts w:cs="Arial"/>
        </w:rPr>
        <w:t xml:space="preserve"> either in</w:t>
      </w:r>
      <w:bookmarkEnd w:id="4"/>
      <w:bookmarkEnd w:id="5"/>
      <w:r w:rsidR="00D865D7" w:rsidRPr="008223C1">
        <w:rPr>
          <w:rFonts w:cs="Arial"/>
        </w:rPr>
        <w:t xml:space="preserve"> </w:t>
      </w:r>
    </w:p>
    <w:p w14:paraId="75F162A7" w14:textId="77777777" w:rsidR="00D865D7" w:rsidRDefault="00D865D7" w:rsidP="00A54D7D">
      <w:pPr>
        <w:pStyle w:val="Proposal"/>
        <w:numPr>
          <w:ilvl w:val="1"/>
          <w:numId w:val="31"/>
        </w:numPr>
        <w:jc w:val="left"/>
        <w:rPr>
          <w:rFonts w:cs="Arial"/>
        </w:rPr>
      </w:pPr>
      <w:bookmarkStart w:id="6" w:name="_Toc134717604"/>
      <w:bookmarkStart w:id="7" w:name="_Toc149818238"/>
      <w:r>
        <w:rPr>
          <w:rFonts w:cs="Arial"/>
        </w:rPr>
        <w:t xml:space="preserve">an </w:t>
      </w:r>
      <w:r w:rsidRPr="00577C06">
        <w:rPr>
          <w:rFonts w:cs="Arial"/>
        </w:rPr>
        <w:t>RA report</w:t>
      </w:r>
      <w:r>
        <w:rPr>
          <w:rFonts w:cs="Arial"/>
        </w:rPr>
        <w:t>,</w:t>
      </w:r>
      <w:r w:rsidRPr="00577C06">
        <w:rPr>
          <w:rFonts w:cs="Arial"/>
        </w:rPr>
        <w:t xml:space="preserve"> or</w:t>
      </w:r>
      <w:bookmarkEnd w:id="6"/>
      <w:bookmarkEnd w:id="7"/>
      <w:r w:rsidRPr="00577C06">
        <w:rPr>
          <w:rFonts w:cs="Arial"/>
        </w:rPr>
        <w:t xml:space="preserve"> </w:t>
      </w:r>
    </w:p>
    <w:p w14:paraId="486288E5" w14:textId="6B7AF146" w:rsidR="00D865D7" w:rsidRDefault="00D865D7" w:rsidP="00A54D7D">
      <w:pPr>
        <w:pStyle w:val="Proposal"/>
        <w:numPr>
          <w:ilvl w:val="1"/>
          <w:numId w:val="31"/>
        </w:numPr>
        <w:jc w:val="left"/>
        <w:rPr>
          <w:rFonts w:cs="Arial"/>
        </w:rPr>
      </w:pPr>
      <w:bookmarkStart w:id="8" w:name="_Toc134717605"/>
      <w:bookmarkStart w:id="9" w:name="_Toc149818239"/>
      <w:r>
        <w:rPr>
          <w:rFonts w:cs="Arial"/>
        </w:rPr>
        <w:t xml:space="preserve">a </w:t>
      </w:r>
      <w:r w:rsidRPr="00577C06">
        <w:rPr>
          <w:rFonts w:cs="Arial"/>
        </w:rPr>
        <w:t>CEF report</w:t>
      </w:r>
      <w:bookmarkEnd w:id="8"/>
      <w:bookmarkEnd w:id="9"/>
      <w:r w:rsidRPr="00577C06">
        <w:rPr>
          <w:rFonts w:cs="Arial"/>
        </w:rPr>
        <w:t xml:space="preserve"> </w:t>
      </w:r>
    </w:p>
    <w:p w14:paraId="1D2E0BF3" w14:textId="77777777" w:rsidR="00D865D7" w:rsidRPr="00F8412A" w:rsidRDefault="00D865D7" w:rsidP="00A54D7D">
      <w:pPr>
        <w:pStyle w:val="BodyText"/>
        <w:jc w:val="left"/>
      </w:pPr>
    </w:p>
    <w:p w14:paraId="5222C01D" w14:textId="268A76A8" w:rsidR="00F63950" w:rsidRDefault="00230D18" w:rsidP="00F63950">
      <w:pPr>
        <w:pStyle w:val="Heading2"/>
      </w:pPr>
      <w:r>
        <w:t>2.</w:t>
      </w:r>
      <w:r w:rsidR="0083435D">
        <w:t>4</w:t>
      </w:r>
      <w:r>
        <w:tab/>
      </w:r>
      <w:bookmarkStart w:id="10" w:name="_Hlk138930076"/>
      <w:r w:rsidR="00934A68" w:rsidRPr="00FF08D7">
        <w:t>Enhancements for MHI</w:t>
      </w:r>
      <w:bookmarkEnd w:id="10"/>
    </w:p>
    <w:p w14:paraId="4881A798" w14:textId="1EBF9EC1" w:rsidR="00416081" w:rsidRDefault="00416081" w:rsidP="00A54D7D">
      <w:pPr>
        <w:rPr>
          <w:rFonts w:ascii="Arial" w:hAnsi="Arial" w:cs="Arial"/>
        </w:rPr>
      </w:pPr>
      <w:r>
        <w:rPr>
          <w:rFonts w:ascii="Arial" w:hAnsi="Arial" w:cs="Arial"/>
        </w:rPr>
        <w:t xml:space="preserve">In RAN2#123bis meeting, it was agreed that enhancements of MHI in NPN context will be considered in Rel-18. </w:t>
      </w:r>
      <w:r w:rsidR="00683354">
        <w:rPr>
          <w:rFonts w:ascii="Arial" w:hAnsi="Arial" w:cs="Arial"/>
        </w:rPr>
        <w:t xml:space="preserve">Two </w:t>
      </w:r>
      <w:r>
        <w:rPr>
          <w:rFonts w:ascii="Arial" w:hAnsi="Arial" w:cs="Arial"/>
        </w:rPr>
        <w:t xml:space="preserve">solutions </w:t>
      </w:r>
      <w:r w:rsidR="00683354">
        <w:rPr>
          <w:rFonts w:ascii="Arial" w:hAnsi="Arial" w:cs="Arial"/>
        </w:rPr>
        <w:t>are discussed</w:t>
      </w:r>
      <w:r w:rsidR="006A158D">
        <w:rPr>
          <w:rFonts w:ascii="Arial" w:hAnsi="Arial" w:cs="Arial"/>
        </w:rPr>
        <w:t xml:space="preserve"> in the following</w:t>
      </w:r>
      <w:r w:rsidR="00220F43">
        <w:rPr>
          <w:rFonts w:ascii="Arial" w:hAnsi="Arial" w:cs="Arial"/>
        </w:rPr>
        <w:t>.</w:t>
      </w:r>
    </w:p>
    <w:p w14:paraId="0B357719" w14:textId="741B0EF7" w:rsidR="00416081" w:rsidRPr="00416081" w:rsidRDefault="00416081" w:rsidP="00A54D7D">
      <w:pPr>
        <w:rPr>
          <w:rFonts w:ascii="Arial" w:hAnsi="Arial" w:cs="Arial"/>
          <w:b/>
          <w:bCs/>
          <w:u w:val="single"/>
        </w:rPr>
      </w:pPr>
      <w:r w:rsidRPr="00416081">
        <w:rPr>
          <w:rFonts w:ascii="Arial" w:hAnsi="Arial" w:cs="Arial"/>
          <w:b/>
          <w:bCs/>
          <w:u w:val="single"/>
        </w:rPr>
        <w:t>Option-1</w:t>
      </w:r>
    </w:p>
    <w:p w14:paraId="00008CFF" w14:textId="58084C56" w:rsidR="00416081" w:rsidRDefault="00416081" w:rsidP="00A54D7D">
      <w:pPr>
        <w:rPr>
          <w:rFonts w:ascii="Arial" w:hAnsi="Arial" w:cs="Arial"/>
        </w:rPr>
      </w:pPr>
      <w:r>
        <w:rPr>
          <w:rFonts w:ascii="Arial" w:hAnsi="Arial" w:cs="Arial"/>
        </w:rPr>
        <w:t>One option could be that UE deletes collected MHI upon de-registering from a network. Thus, upon de-registering from PN, UE deletes PN MHI report and registers to SNPN</w:t>
      </w:r>
      <w:r w:rsidR="00B52F9B">
        <w:rPr>
          <w:rFonts w:ascii="Arial" w:hAnsi="Arial" w:cs="Arial"/>
        </w:rPr>
        <w:t xml:space="preserve"> and may start collecting MHI for the SNPN</w:t>
      </w:r>
      <w:r>
        <w:rPr>
          <w:rFonts w:ascii="Arial" w:hAnsi="Arial" w:cs="Arial"/>
        </w:rPr>
        <w:t xml:space="preserve">. Similarly, upon </w:t>
      </w:r>
      <w:r w:rsidR="00B52F9B">
        <w:rPr>
          <w:rFonts w:ascii="Arial" w:hAnsi="Arial" w:cs="Arial"/>
        </w:rPr>
        <w:t xml:space="preserve">de-registering from SNPN, UE deletes SNPN MHI report and registers to PN and starts collecting MHI for the PN. </w:t>
      </w:r>
    </w:p>
    <w:p w14:paraId="71F35D88" w14:textId="15E6F881" w:rsidR="00B52F9B" w:rsidRPr="00B52F9B" w:rsidRDefault="00B52F9B" w:rsidP="00A54D7D">
      <w:pPr>
        <w:rPr>
          <w:rFonts w:ascii="Arial" w:hAnsi="Arial" w:cs="Arial"/>
          <w:b/>
          <w:bCs/>
          <w:u w:val="single"/>
        </w:rPr>
      </w:pPr>
      <w:r w:rsidRPr="00B52F9B">
        <w:rPr>
          <w:rFonts w:ascii="Arial" w:hAnsi="Arial" w:cs="Arial"/>
          <w:b/>
          <w:bCs/>
          <w:u w:val="single"/>
        </w:rPr>
        <w:t>Option-2</w:t>
      </w:r>
    </w:p>
    <w:p w14:paraId="777A0E79" w14:textId="66B17B6D" w:rsidR="00B52F9B" w:rsidRDefault="00B52F9B" w:rsidP="00A54D7D">
      <w:pPr>
        <w:rPr>
          <w:rFonts w:ascii="Arial" w:hAnsi="Arial" w:cs="Arial"/>
        </w:rPr>
      </w:pPr>
      <w:r>
        <w:rPr>
          <w:rFonts w:ascii="Arial" w:hAnsi="Arial" w:cs="Arial"/>
        </w:rPr>
        <w:t xml:space="preserve">The </w:t>
      </w:r>
      <w:r w:rsidR="00A62111">
        <w:rPr>
          <w:rFonts w:ascii="Arial" w:hAnsi="Arial" w:cs="Arial"/>
        </w:rPr>
        <w:t>dis</w:t>
      </w:r>
      <w:r w:rsidR="001B0CB8">
        <w:rPr>
          <w:rFonts w:ascii="Arial" w:hAnsi="Arial" w:cs="Arial"/>
        </w:rPr>
        <w:t>-</w:t>
      </w:r>
      <w:r w:rsidR="00830CAC">
        <w:rPr>
          <w:rFonts w:ascii="Arial" w:hAnsi="Arial" w:cs="Arial"/>
        </w:rPr>
        <w:t>advantage</w:t>
      </w:r>
      <w:r>
        <w:rPr>
          <w:rFonts w:ascii="Arial" w:hAnsi="Arial" w:cs="Arial"/>
        </w:rPr>
        <w:t xml:space="preserve"> of option-1 </w:t>
      </w:r>
      <w:r w:rsidR="00A62111">
        <w:rPr>
          <w:rFonts w:ascii="Arial" w:hAnsi="Arial" w:cs="Arial"/>
        </w:rPr>
        <w:t>is</w:t>
      </w:r>
      <w:r>
        <w:rPr>
          <w:rFonts w:ascii="Arial" w:hAnsi="Arial" w:cs="Arial"/>
        </w:rPr>
        <w:t xml:space="preserve"> wastefulness of MHI</w:t>
      </w:r>
      <w:r w:rsidR="00A62111">
        <w:rPr>
          <w:rFonts w:ascii="Arial" w:hAnsi="Arial" w:cs="Arial"/>
        </w:rPr>
        <w:t xml:space="preserve"> feature</w:t>
      </w:r>
      <w:r>
        <w:rPr>
          <w:rFonts w:ascii="Arial" w:hAnsi="Arial" w:cs="Arial"/>
        </w:rPr>
        <w:t xml:space="preserve">, since the network may </w:t>
      </w:r>
      <w:r w:rsidR="00150D3B">
        <w:rPr>
          <w:rFonts w:ascii="Arial" w:hAnsi="Arial" w:cs="Arial"/>
        </w:rPr>
        <w:t>have</w:t>
      </w:r>
      <w:r>
        <w:rPr>
          <w:rFonts w:ascii="Arial" w:hAnsi="Arial" w:cs="Arial"/>
        </w:rPr>
        <w:t xml:space="preserve"> not </w:t>
      </w:r>
      <w:r w:rsidR="00325CD4">
        <w:rPr>
          <w:rFonts w:ascii="Arial" w:hAnsi="Arial" w:cs="Arial"/>
        </w:rPr>
        <w:t>retrieved</w:t>
      </w:r>
      <w:r>
        <w:rPr>
          <w:rFonts w:ascii="Arial" w:hAnsi="Arial" w:cs="Arial"/>
        </w:rPr>
        <w:t xml:space="preserve"> the MHI from the UE and the report </w:t>
      </w:r>
      <w:r w:rsidR="00325CD4">
        <w:rPr>
          <w:rFonts w:ascii="Arial" w:hAnsi="Arial" w:cs="Arial"/>
        </w:rPr>
        <w:t xml:space="preserve">will be </w:t>
      </w:r>
      <w:r>
        <w:rPr>
          <w:rFonts w:ascii="Arial" w:hAnsi="Arial" w:cs="Arial"/>
        </w:rPr>
        <w:t>lost.</w:t>
      </w:r>
    </w:p>
    <w:p w14:paraId="1FF9378B" w14:textId="7FF9DB45" w:rsidR="00191341" w:rsidRPr="00FF08D7" w:rsidRDefault="00B52F9B" w:rsidP="00A54D7D">
      <w:pPr>
        <w:rPr>
          <w:rFonts w:ascii="Arial" w:hAnsi="Arial" w:cs="Arial"/>
        </w:rPr>
      </w:pPr>
      <w:r>
        <w:rPr>
          <w:rFonts w:ascii="Arial" w:hAnsi="Arial" w:cs="Arial"/>
        </w:rPr>
        <w:t xml:space="preserve">Thus, an alternative option is to </w:t>
      </w:r>
      <w:r w:rsidR="004453C9">
        <w:rPr>
          <w:rFonts w:ascii="Arial" w:hAnsi="Arial" w:cs="Arial"/>
        </w:rPr>
        <w:t xml:space="preserve">keep the MHI report upon moving to the SNPN and </w:t>
      </w:r>
      <w:r>
        <w:rPr>
          <w:rFonts w:ascii="Arial" w:hAnsi="Arial" w:cs="Arial"/>
        </w:rPr>
        <w:t xml:space="preserve">include additional information in the MHI report. </w:t>
      </w:r>
      <w:r w:rsidR="0036098E">
        <w:rPr>
          <w:rFonts w:ascii="Arial" w:hAnsi="Arial" w:cs="Arial"/>
        </w:rPr>
        <w:t>T</w:t>
      </w:r>
      <w:r>
        <w:rPr>
          <w:rFonts w:ascii="Arial" w:hAnsi="Arial" w:cs="Arial"/>
        </w:rPr>
        <w:t xml:space="preserve">his option </w:t>
      </w:r>
      <w:r w:rsidR="00E90EAE">
        <w:rPr>
          <w:rFonts w:ascii="Arial" w:hAnsi="Arial" w:cs="Arial"/>
        </w:rPr>
        <w:t>can be inspired from the MHI when the UE moves ou</w:t>
      </w:r>
      <w:r w:rsidR="004E3838">
        <w:rPr>
          <w:rFonts w:ascii="Arial" w:hAnsi="Arial" w:cs="Arial"/>
        </w:rPr>
        <w:t>t</w:t>
      </w:r>
      <w:r w:rsidR="00E90EAE">
        <w:rPr>
          <w:rFonts w:ascii="Arial" w:hAnsi="Arial" w:cs="Arial"/>
        </w:rPr>
        <w:t xml:space="preserve"> of the NR coverage.</w:t>
      </w:r>
      <w:r w:rsidR="00780454">
        <w:rPr>
          <w:rFonts w:ascii="Arial" w:hAnsi="Arial" w:cs="Arial"/>
        </w:rPr>
        <w:t xml:space="preserve"> </w:t>
      </w:r>
      <w:r w:rsidR="00191341">
        <w:rPr>
          <w:rFonts w:ascii="Arial" w:hAnsi="Arial" w:cs="Arial"/>
        </w:rPr>
        <w:t>In NR Mobility History information (MHI) report, if the UE is out of NR or LTE coverage, an indication is included to indicate that UE was out of NR or LTE coverage.</w:t>
      </w:r>
    </w:p>
    <w:tbl>
      <w:tblPr>
        <w:tblW w:w="9690"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0"/>
      </w:tblGrid>
      <w:tr w:rsidR="00191341" w14:paraId="678DFFD8" w14:textId="77777777">
        <w:trPr>
          <w:trHeight w:val="1860"/>
        </w:trPr>
        <w:tc>
          <w:tcPr>
            <w:tcW w:w="9690" w:type="dxa"/>
          </w:tcPr>
          <w:p w14:paraId="36D487EB" w14:textId="77777777" w:rsidR="00191341" w:rsidRPr="00F10B4F" w:rsidRDefault="00191341" w:rsidP="00A54D7D">
            <w:pPr>
              <w:pStyle w:val="B1"/>
              <w:ind w:left="442"/>
              <w:jc w:val="left"/>
            </w:pPr>
            <w:r w:rsidRPr="00F10B4F">
              <w:t>1&gt;</w:t>
            </w:r>
            <w:r w:rsidRPr="00F10B4F">
              <w:tab/>
              <w:t>upon entering 'camped normally' state in NR (in RRC_IDLE or RRC_INACTIVE) or E-UTRA (in RRC_IDLE) while previously in 'any cell selection' state or 'camped on any cell' state in NR or LTE:</w:t>
            </w:r>
          </w:p>
          <w:p w14:paraId="126F1399" w14:textId="77777777" w:rsidR="00191341" w:rsidRPr="00F10B4F" w:rsidRDefault="00191341" w:rsidP="00A54D7D">
            <w:pPr>
              <w:pStyle w:val="B2"/>
              <w:ind w:left="725"/>
              <w:jc w:val="left"/>
            </w:pPr>
            <w:r w:rsidRPr="00F10B4F">
              <w:t>2&gt;</w:t>
            </w:r>
            <w:r w:rsidRPr="00F10B4F">
              <w:tab/>
              <w:t xml:space="preserve">include an entry in variable </w:t>
            </w:r>
            <w:proofErr w:type="spellStart"/>
            <w:r w:rsidRPr="00F10B4F">
              <w:rPr>
                <w:i/>
              </w:rPr>
              <w:t>VarMobilityHistoryReport</w:t>
            </w:r>
            <w:proofErr w:type="spellEnd"/>
            <w:r w:rsidRPr="00F10B4F">
              <w:t xml:space="preserve"> possibly after removing the oldest entry, if necessary, according to following:</w:t>
            </w:r>
          </w:p>
          <w:p w14:paraId="4A4F8429" w14:textId="77777777" w:rsidR="00191341" w:rsidRDefault="00191341" w:rsidP="00A54D7D">
            <w:pPr>
              <w:pStyle w:val="B1"/>
              <w:ind w:left="442"/>
              <w:jc w:val="left"/>
            </w:pPr>
            <w:r>
              <w:t xml:space="preserve">           </w:t>
            </w:r>
            <w:r w:rsidRPr="00F10B4F">
              <w:t>3&gt;</w:t>
            </w:r>
            <w:r w:rsidRPr="00F10B4F">
              <w:tab/>
              <w:t xml:space="preserve">set the field </w:t>
            </w:r>
            <w:proofErr w:type="spellStart"/>
            <w:r w:rsidRPr="00F10B4F">
              <w:rPr>
                <w:i/>
                <w:iCs/>
              </w:rPr>
              <w:t>timeSpent</w:t>
            </w:r>
            <w:proofErr w:type="spellEnd"/>
            <w:r w:rsidRPr="00F10B4F">
              <w:t xml:space="preserve"> of the entry as the time spent in 'any cell selection' state and/or 'camped on any </w:t>
            </w:r>
            <w:r>
              <w:t xml:space="preserve">   </w:t>
            </w:r>
            <w:r w:rsidRPr="00F10B4F">
              <w:t>cell' state in NR or LTE.</w:t>
            </w:r>
          </w:p>
        </w:tc>
      </w:tr>
    </w:tbl>
    <w:p w14:paraId="4D9CF156" w14:textId="7CD875D8" w:rsidR="00191341" w:rsidRDefault="00191341" w:rsidP="00A54D7D">
      <w:pPr>
        <w:pStyle w:val="IvDInstructiontext"/>
        <w:rPr>
          <w:rStyle w:val="IvDbodytextChar"/>
          <w:rFonts w:cs="Arial"/>
          <w:i w:val="0"/>
          <w:color w:val="auto"/>
          <w:sz w:val="20"/>
          <w:szCs w:val="20"/>
        </w:rPr>
      </w:pPr>
      <w:r>
        <w:rPr>
          <w:rStyle w:val="IvDbodytextChar"/>
          <w:rFonts w:cs="Arial"/>
          <w:i w:val="0"/>
          <w:color w:val="auto"/>
          <w:sz w:val="20"/>
          <w:szCs w:val="20"/>
        </w:rPr>
        <w:t xml:space="preserve">However, if the UE registers to SNPN, it is not necessarily out of coverage of </w:t>
      </w:r>
      <w:r w:rsidR="002F42A9">
        <w:rPr>
          <w:rStyle w:val="IvDbodytextChar"/>
          <w:rFonts w:cs="Arial"/>
          <w:i w:val="0"/>
          <w:color w:val="auto"/>
          <w:sz w:val="20"/>
          <w:szCs w:val="20"/>
        </w:rPr>
        <w:t xml:space="preserve">public network of </w:t>
      </w:r>
      <w:r>
        <w:rPr>
          <w:rStyle w:val="IvDbodytextChar"/>
          <w:rFonts w:cs="Arial"/>
          <w:i w:val="0"/>
          <w:color w:val="auto"/>
          <w:sz w:val="20"/>
          <w:szCs w:val="20"/>
        </w:rPr>
        <w:t>NR. Thus, upon returning to PN, it is uncertain what it should log in the MHI report for NR.</w:t>
      </w:r>
    </w:p>
    <w:p w14:paraId="18E3515A" w14:textId="77777777" w:rsidR="00191341" w:rsidRDefault="00191341" w:rsidP="00A54D7D">
      <w:pPr>
        <w:pStyle w:val="IvDInstructiontext"/>
        <w:rPr>
          <w:rStyle w:val="IvDbodytextChar"/>
          <w:rFonts w:cs="Arial"/>
          <w:i w:val="0"/>
          <w:color w:val="auto"/>
          <w:sz w:val="20"/>
          <w:szCs w:val="20"/>
        </w:rPr>
      </w:pPr>
    </w:p>
    <w:p w14:paraId="63B4ACC1" w14:textId="72BCA89C" w:rsidR="00191341" w:rsidRDefault="00191341" w:rsidP="00A54D7D">
      <w:pPr>
        <w:pStyle w:val="Observation"/>
        <w:jc w:val="left"/>
        <w:rPr>
          <w:rStyle w:val="IvDbodytextChar"/>
          <w:rFonts w:cs="Arial"/>
        </w:rPr>
      </w:pPr>
      <w:bookmarkStart w:id="11" w:name="_Toc134717615"/>
      <w:bookmarkStart w:id="12" w:name="_Toc149818205"/>
      <w:r>
        <w:rPr>
          <w:rStyle w:val="IvDbodytextChar"/>
          <w:rFonts w:cs="Arial"/>
        </w:rPr>
        <w:t xml:space="preserve">If a UE served by PN, registers to SNPN and later returns to PN, it is unclear what is logged </w:t>
      </w:r>
      <w:r w:rsidR="00CA66CC">
        <w:rPr>
          <w:rStyle w:val="IvDbodytextChar"/>
          <w:rFonts w:cs="Arial"/>
        </w:rPr>
        <w:t xml:space="preserve">and reported </w:t>
      </w:r>
      <w:r>
        <w:rPr>
          <w:rStyle w:val="IvDbodytextChar"/>
          <w:rFonts w:cs="Arial"/>
        </w:rPr>
        <w:t>by the UE in the MHI.</w:t>
      </w:r>
      <w:bookmarkEnd w:id="11"/>
      <w:bookmarkEnd w:id="12"/>
    </w:p>
    <w:p w14:paraId="255457C2" w14:textId="77777777" w:rsidR="00191341" w:rsidRDefault="00191341" w:rsidP="00A54D7D">
      <w:pPr>
        <w:pStyle w:val="IvDInstructiontext"/>
        <w:rPr>
          <w:rStyle w:val="IvDbodytextChar"/>
          <w:rFonts w:cs="Arial"/>
          <w:i w:val="0"/>
          <w:color w:val="auto"/>
          <w:sz w:val="20"/>
          <w:szCs w:val="20"/>
        </w:rPr>
      </w:pPr>
      <w:r>
        <w:rPr>
          <w:rStyle w:val="IvDbodytextChar"/>
          <w:rFonts w:cs="Arial"/>
          <w:i w:val="0"/>
          <w:color w:val="auto"/>
          <w:sz w:val="20"/>
          <w:szCs w:val="20"/>
        </w:rPr>
        <w:lastRenderedPageBreak/>
        <w:t xml:space="preserve">In this scenario, it is important to identify in the MHI of the PN that the UE was served by an SNPN and was not out of coverage. Hence, we propose the UE to log a </w:t>
      </w:r>
      <w:proofErr w:type="spellStart"/>
      <w:r>
        <w:rPr>
          <w:rStyle w:val="IvDbodytextChar"/>
          <w:rFonts w:cs="Arial"/>
          <w:iCs/>
          <w:color w:val="auto"/>
          <w:sz w:val="20"/>
          <w:szCs w:val="20"/>
        </w:rPr>
        <w:t>timeSpent</w:t>
      </w:r>
      <w:proofErr w:type="spellEnd"/>
      <w:r>
        <w:rPr>
          <w:rStyle w:val="IvDbodytextChar"/>
          <w:rFonts w:cs="Arial"/>
          <w:i w:val="0"/>
          <w:color w:val="auto"/>
          <w:sz w:val="20"/>
          <w:szCs w:val="20"/>
        </w:rPr>
        <w:t xml:space="preserve"> entry in the PN MHI containing time spent in the SNPN indicating it was connected to an SNPN.</w:t>
      </w:r>
    </w:p>
    <w:p w14:paraId="2FB779AE" w14:textId="77777777" w:rsidR="00191341" w:rsidRDefault="00191341" w:rsidP="00A54D7D">
      <w:pPr>
        <w:pStyle w:val="IvDInstructiontext"/>
        <w:rPr>
          <w:rStyle w:val="IvDbodytextChar"/>
          <w:rFonts w:cs="Arial"/>
          <w:i w:val="0"/>
          <w:color w:val="auto"/>
          <w:sz w:val="20"/>
          <w:szCs w:val="20"/>
        </w:rPr>
      </w:pPr>
    </w:p>
    <w:p w14:paraId="3AB41D02" w14:textId="77777777" w:rsidR="003F5609" w:rsidRDefault="005C4011" w:rsidP="003F5609">
      <w:pPr>
        <w:pStyle w:val="Proposal"/>
        <w:numPr>
          <w:ilvl w:val="0"/>
          <w:numId w:val="3"/>
        </w:numPr>
        <w:jc w:val="left"/>
        <w:rPr>
          <w:rFonts w:cs="Arial"/>
          <w:lang w:val="en-US"/>
        </w:rPr>
      </w:pPr>
      <w:bookmarkStart w:id="13" w:name="_Toc149818240"/>
      <w:r w:rsidRPr="002062B2">
        <w:rPr>
          <w:rFonts w:cs="Arial"/>
          <w:lang w:val="en-US"/>
        </w:rPr>
        <w:t>RAN2 to discuss following options to enhance MHI for NPN</w:t>
      </w:r>
      <w:r w:rsidR="00854893" w:rsidRPr="002062B2">
        <w:rPr>
          <w:rFonts w:cs="Arial"/>
          <w:lang w:val="en-US"/>
        </w:rPr>
        <w:t>:</w:t>
      </w:r>
      <w:bookmarkEnd w:id="13"/>
    </w:p>
    <w:p w14:paraId="3090885F" w14:textId="44E2A410" w:rsidR="003F5609" w:rsidRDefault="00047118" w:rsidP="003F5609">
      <w:pPr>
        <w:pStyle w:val="Proposal"/>
        <w:numPr>
          <w:ilvl w:val="0"/>
          <w:numId w:val="0"/>
        </w:numPr>
        <w:ind w:left="1871"/>
        <w:jc w:val="left"/>
        <w:rPr>
          <w:rFonts w:cs="Arial"/>
          <w:lang w:val="en-US"/>
        </w:rPr>
      </w:pPr>
      <w:bookmarkStart w:id="14" w:name="_Toc149818241"/>
      <w:r>
        <w:rPr>
          <w:rFonts w:cs="Arial"/>
          <w:lang w:val="en-US"/>
        </w:rPr>
        <w:t>Option a:</w:t>
      </w:r>
      <w:r w:rsidR="00150DE0">
        <w:rPr>
          <w:rFonts w:cs="Arial"/>
          <w:lang w:val="en-US"/>
        </w:rPr>
        <w:t xml:space="preserve"> </w:t>
      </w:r>
      <w:r w:rsidR="005C4011" w:rsidRPr="002062B2">
        <w:rPr>
          <w:rFonts w:cs="Arial"/>
          <w:lang w:val="en-US"/>
        </w:rPr>
        <w:t>UE deletes stored MHI upon de-registering from a network.</w:t>
      </w:r>
      <w:bookmarkEnd w:id="14"/>
      <w:r w:rsidR="00854893" w:rsidRPr="002062B2">
        <w:rPr>
          <w:rFonts w:cs="Arial"/>
          <w:lang w:val="en-US"/>
        </w:rPr>
        <w:tab/>
      </w:r>
    </w:p>
    <w:p w14:paraId="22838750" w14:textId="5F66787B" w:rsidR="006858A0" w:rsidRPr="002062B2" w:rsidRDefault="00047118" w:rsidP="002062B2">
      <w:pPr>
        <w:pStyle w:val="Proposal"/>
        <w:numPr>
          <w:ilvl w:val="0"/>
          <w:numId w:val="0"/>
        </w:numPr>
        <w:ind w:left="1871"/>
        <w:jc w:val="left"/>
      </w:pPr>
      <w:bookmarkStart w:id="15" w:name="_Toc149818242"/>
      <w:r>
        <w:rPr>
          <w:rFonts w:cs="Arial"/>
          <w:lang w:val="en-US"/>
        </w:rPr>
        <w:t>Option b:</w:t>
      </w:r>
      <w:r w:rsidR="00150DE0">
        <w:rPr>
          <w:rFonts w:cs="Arial"/>
          <w:lang w:val="en-US"/>
        </w:rPr>
        <w:t xml:space="preserve"> </w:t>
      </w:r>
      <w:r w:rsidR="005C4011" w:rsidRPr="002062B2">
        <w:rPr>
          <w:rFonts w:cs="Arial"/>
          <w:lang w:val="en-US"/>
        </w:rPr>
        <w:t xml:space="preserve">MHI is enhanced to include a single entry logging the time UE spent in last SNPN (SNPN cell IDs and timespan in the visited SNPN cells are </w:t>
      </w:r>
      <w:r w:rsidR="00CF7B93" w:rsidRPr="002062B2">
        <w:rPr>
          <w:rFonts w:cs="Arial"/>
          <w:lang w:val="en-US"/>
        </w:rPr>
        <w:t xml:space="preserve">NOT </w:t>
      </w:r>
      <w:r w:rsidR="000A439A" w:rsidRPr="002062B2">
        <w:rPr>
          <w:rFonts w:cs="Arial"/>
          <w:lang w:val="en-US"/>
        </w:rPr>
        <w:t>logged</w:t>
      </w:r>
      <w:r w:rsidR="005C4011" w:rsidRPr="002062B2">
        <w:rPr>
          <w:rFonts w:cs="Arial"/>
          <w:lang w:val="en-US"/>
        </w:rPr>
        <w:t>)</w:t>
      </w:r>
      <w:r w:rsidR="008267BA" w:rsidRPr="002062B2">
        <w:rPr>
          <w:rFonts w:cs="Arial"/>
          <w:lang w:val="en-US"/>
        </w:rPr>
        <w:t>.</w:t>
      </w:r>
      <w:bookmarkEnd w:id="15"/>
    </w:p>
    <w:p w14:paraId="715996FA" w14:textId="1F69F6B5" w:rsidR="00CE0424" w:rsidRDefault="00230D18" w:rsidP="00CE0424">
      <w:pPr>
        <w:pStyle w:val="Heading2"/>
      </w:pPr>
      <w:r>
        <w:t>2.</w:t>
      </w:r>
      <w:r w:rsidR="0083435D">
        <w:t>5</w:t>
      </w:r>
      <w:r>
        <w:tab/>
      </w:r>
      <w:r w:rsidR="00F933E5" w:rsidRPr="00914FBA">
        <w:t>Building coverage map for NPN and PN</w:t>
      </w:r>
    </w:p>
    <w:p w14:paraId="71436288" w14:textId="50586D64" w:rsidR="00806947" w:rsidRDefault="00806947" w:rsidP="00A54D7D">
      <w:pPr>
        <w:pStyle w:val="IvDInstructiontext"/>
        <w:rPr>
          <w:rStyle w:val="IvDbodytextChar"/>
          <w:rFonts w:cs="Arial"/>
          <w:i w:val="0"/>
          <w:color w:val="auto"/>
          <w:sz w:val="20"/>
          <w:szCs w:val="20"/>
        </w:rPr>
      </w:pPr>
      <w:r>
        <w:rPr>
          <w:rStyle w:val="IvDbodytextChar"/>
          <w:rFonts w:cs="Arial"/>
          <w:i w:val="0"/>
          <w:color w:val="auto"/>
          <w:sz w:val="20"/>
          <w:szCs w:val="20"/>
        </w:rPr>
        <w:t>One important use case of the logged MDT report is to build and analyze the coverage map for a given network. When both PN and NPN are deployed in an area</w:t>
      </w:r>
      <w:r w:rsidRPr="00BB7E8E">
        <w:rPr>
          <w:rStyle w:val="IvDbodytextChar"/>
          <w:rFonts w:cs="Arial"/>
          <w:i w:val="0"/>
          <w:color w:val="auto"/>
          <w:sz w:val="20"/>
          <w:szCs w:val="20"/>
        </w:rPr>
        <w:t xml:space="preserve"> </w:t>
      </w:r>
      <w:r>
        <w:rPr>
          <w:rStyle w:val="IvDbodytextChar"/>
          <w:rFonts w:cs="Arial"/>
          <w:i w:val="0"/>
          <w:color w:val="auto"/>
          <w:sz w:val="20"/>
          <w:szCs w:val="20"/>
        </w:rPr>
        <w:t xml:space="preserve">and </w:t>
      </w:r>
      <w:r w:rsidRPr="00BB7E8E">
        <w:rPr>
          <w:rStyle w:val="IvDbodytextChar"/>
          <w:rFonts w:cs="Arial"/>
          <w:i w:val="0"/>
          <w:color w:val="auto"/>
          <w:sz w:val="20"/>
          <w:szCs w:val="20"/>
        </w:rPr>
        <w:t xml:space="preserve">MDT reports are used to build coverage map of </w:t>
      </w:r>
      <w:r>
        <w:rPr>
          <w:rStyle w:val="IvDbodytextChar"/>
          <w:rFonts w:cs="Arial"/>
          <w:i w:val="0"/>
          <w:color w:val="auto"/>
          <w:sz w:val="20"/>
          <w:szCs w:val="20"/>
        </w:rPr>
        <w:t>the</w:t>
      </w:r>
      <w:r w:rsidRPr="00BB7E8E">
        <w:rPr>
          <w:rStyle w:val="IvDbodytextChar"/>
          <w:rFonts w:cs="Arial"/>
          <w:i w:val="0"/>
          <w:color w:val="auto"/>
          <w:sz w:val="20"/>
          <w:szCs w:val="20"/>
        </w:rPr>
        <w:t xml:space="preserve"> area, it is important to the network knowing</w:t>
      </w:r>
      <w:r>
        <w:rPr>
          <w:rStyle w:val="IvDbodytextChar"/>
          <w:rFonts w:cs="Arial"/>
          <w:i w:val="0"/>
          <w:color w:val="auto"/>
          <w:sz w:val="20"/>
          <w:szCs w:val="20"/>
        </w:rPr>
        <w:t xml:space="preserve"> from the measurements in the MDT report</w:t>
      </w:r>
      <w:r w:rsidRPr="00BB7E8E">
        <w:rPr>
          <w:rStyle w:val="IvDbodytextChar"/>
          <w:rFonts w:cs="Arial"/>
          <w:i w:val="0"/>
          <w:color w:val="auto"/>
          <w:sz w:val="20"/>
          <w:szCs w:val="20"/>
        </w:rPr>
        <w:t xml:space="preserve"> which</w:t>
      </w:r>
      <w:r>
        <w:rPr>
          <w:rStyle w:val="IvDbodytextChar"/>
          <w:rFonts w:cs="Arial"/>
          <w:i w:val="0"/>
          <w:color w:val="auto"/>
          <w:sz w:val="20"/>
          <w:szCs w:val="20"/>
        </w:rPr>
        <w:t xml:space="preserve"> </w:t>
      </w:r>
      <w:r w:rsidRPr="00BB7E8E">
        <w:rPr>
          <w:rStyle w:val="IvDbodytextChar"/>
          <w:rFonts w:cs="Arial"/>
          <w:i w:val="0"/>
          <w:color w:val="auto"/>
          <w:sz w:val="20"/>
          <w:szCs w:val="20"/>
        </w:rPr>
        <w:t>cells provid</w:t>
      </w:r>
      <w:r>
        <w:rPr>
          <w:rStyle w:val="IvDbodytextChar"/>
          <w:rFonts w:cs="Arial"/>
          <w:i w:val="0"/>
          <w:color w:val="auto"/>
          <w:sz w:val="20"/>
          <w:szCs w:val="20"/>
        </w:rPr>
        <w:t>e</w:t>
      </w:r>
      <w:r w:rsidRPr="00BB7E8E">
        <w:rPr>
          <w:rStyle w:val="IvDbodytextChar"/>
          <w:rFonts w:cs="Arial"/>
          <w:i w:val="0"/>
          <w:color w:val="auto"/>
          <w:sz w:val="20"/>
          <w:szCs w:val="20"/>
        </w:rPr>
        <w:t xml:space="preserve"> coverage to </w:t>
      </w:r>
      <w:proofErr w:type="gramStart"/>
      <w:r w:rsidRPr="00BB7E8E">
        <w:rPr>
          <w:rStyle w:val="IvDbodytextChar"/>
          <w:rFonts w:cs="Arial"/>
          <w:i w:val="0"/>
          <w:color w:val="auto"/>
          <w:sz w:val="20"/>
          <w:szCs w:val="20"/>
        </w:rPr>
        <w:t>NPN</w:t>
      </w:r>
      <w:proofErr w:type="gramEnd"/>
      <w:r w:rsidRPr="00BB7E8E">
        <w:rPr>
          <w:rStyle w:val="IvDbodytextChar"/>
          <w:rFonts w:cs="Arial"/>
          <w:i w:val="0"/>
          <w:color w:val="auto"/>
          <w:sz w:val="20"/>
          <w:szCs w:val="20"/>
        </w:rPr>
        <w:t xml:space="preserve"> and which cells provid</w:t>
      </w:r>
      <w:r>
        <w:rPr>
          <w:rStyle w:val="IvDbodytextChar"/>
          <w:rFonts w:cs="Arial"/>
          <w:i w:val="0"/>
          <w:color w:val="auto"/>
          <w:sz w:val="20"/>
          <w:szCs w:val="20"/>
        </w:rPr>
        <w:t>e</w:t>
      </w:r>
      <w:r w:rsidRPr="00BB7E8E">
        <w:rPr>
          <w:rStyle w:val="IvDbodytextChar"/>
          <w:rFonts w:cs="Arial"/>
          <w:i w:val="0"/>
          <w:color w:val="auto"/>
          <w:sz w:val="20"/>
          <w:szCs w:val="20"/>
        </w:rPr>
        <w:t xml:space="preserve"> coverage to PN.</w:t>
      </w:r>
      <w:r>
        <w:rPr>
          <w:rStyle w:val="IvDbodytextChar"/>
          <w:rFonts w:cs="Arial"/>
          <w:i w:val="0"/>
          <w:color w:val="auto"/>
          <w:sz w:val="20"/>
          <w:szCs w:val="20"/>
        </w:rPr>
        <w:t xml:space="preserve"> As of now the UE includes the measurements results of the neighboring cells associated with the PCI of the neighboring cells in the logged MDT report. Based on the current solution OAM is not capable to differentiate the network type based on the provided measurements (i.e., PCI and the RSRP measurements of the cells in an area). Hence it is not possible to build a coverage map for a specific network. </w:t>
      </w:r>
    </w:p>
    <w:p w14:paraId="4127DC97" w14:textId="58DB09B0" w:rsidR="00806947" w:rsidRPr="005C07BC" w:rsidRDefault="00806947" w:rsidP="00A54D7D">
      <w:pPr>
        <w:pStyle w:val="IvDInstructiontext"/>
        <w:rPr>
          <w:rStyle w:val="IvDbodytextChar"/>
          <w:rFonts w:cs="Arial"/>
          <w:i w:val="0"/>
          <w:color w:val="auto"/>
          <w:sz w:val="20"/>
          <w:szCs w:val="20"/>
        </w:rPr>
      </w:pPr>
      <w:r w:rsidRPr="005C07BC">
        <w:rPr>
          <w:rStyle w:val="IvDbodytextChar"/>
          <w:rFonts w:cs="Arial"/>
          <w:i w:val="0"/>
          <w:color w:val="auto"/>
          <w:sz w:val="20"/>
          <w:szCs w:val="20"/>
        </w:rPr>
        <w:t>In the following</w:t>
      </w:r>
      <w:r>
        <w:rPr>
          <w:rStyle w:val="IvDbodytextChar"/>
          <w:rFonts w:cs="Arial"/>
          <w:i w:val="0"/>
          <w:color w:val="auto"/>
          <w:sz w:val="20"/>
          <w:szCs w:val="20"/>
        </w:rPr>
        <w:t>,</w:t>
      </w:r>
      <w:r w:rsidRPr="005C07BC">
        <w:rPr>
          <w:rStyle w:val="IvDbodytextChar"/>
          <w:rFonts w:cs="Arial"/>
          <w:i w:val="0"/>
          <w:color w:val="auto"/>
          <w:sz w:val="20"/>
          <w:szCs w:val="20"/>
        </w:rPr>
        <w:t xml:space="preserve"> we discuss the</w:t>
      </w:r>
      <w:r>
        <w:rPr>
          <w:rStyle w:val="IvDbodytextChar"/>
          <w:rFonts w:cs="Arial"/>
          <w:i w:val="0"/>
          <w:color w:val="auto"/>
          <w:sz w:val="20"/>
          <w:szCs w:val="20"/>
        </w:rPr>
        <w:t xml:space="preserve"> required</w:t>
      </w:r>
      <w:r w:rsidRPr="005C07BC">
        <w:rPr>
          <w:rStyle w:val="IvDbodytextChar"/>
          <w:rFonts w:cs="Arial"/>
          <w:i w:val="0"/>
          <w:color w:val="auto"/>
          <w:sz w:val="20"/>
          <w:szCs w:val="20"/>
        </w:rPr>
        <w:t xml:space="preserve"> enhancements</w:t>
      </w:r>
      <w:r>
        <w:rPr>
          <w:rStyle w:val="IvDbodytextChar"/>
          <w:rFonts w:cs="Arial"/>
          <w:i w:val="0"/>
          <w:color w:val="auto"/>
          <w:sz w:val="20"/>
          <w:szCs w:val="20"/>
        </w:rPr>
        <w:t xml:space="preserve"> in the MDT configuration, to enable the network to build and analyze the coverage map for a specific network e.g., PN or NPN</w:t>
      </w:r>
      <w:r w:rsidR="00BA4757">
        <w:rPr>
          <w:rStyle w:val="IvDbodytextChar"/>
          <w:rFonts w:cs="Arial"/>
          <w:i w:val="0"/>
          <w:color w:val="auto"/>
          <w:sz w:val="20"/>
          <w:szCs w:val="20"/>
        </w:rPr>
        <w:t xml:space="preserve"> </w:t>
      </w:r>
      <w:proofErr w:type="gramStart"/>
      <w:r w:rsidR="00BA4757">
        <w:rPr>
          <w:rStyle w:val="IvDbodytextChar"/>
          <w:rFonts w:cs="Arial"/>
          <w:i w:val="0"/>
          <w:color w:val="auto"/>
          <w:sz w:val="20"/>
          <w:szCs w:val="20"/>
        </w:rPr>
        <w:t>in a given</w:t>
      </w:r>
      <w:proofErr w:type="gramEnd"/>
      <w:r w:rsidR="00BA4757">
        <w:rPr>
          <w:rStyle w:val="IvDbodytextChar"/>
          <w:rFonts w:cs="Arial"/>
          <w:i w:val="0"/>
          <w:color w:val="auto"/>
          <w:sz w:val="20"/>
          <w:szCs w:val="20"/>
        </w:rPr>
        <w:t xml:space="preserve"> frequency</w:t>
      </w:r>
      <w:r>
        <w:rPr>
          <w:rStyle w:val="IvDbodytextChar"/>
          <w:rFonts w:cs="Arial"/>
          <w:i w:val="0"/>
          <w:color w:val="auto"/>
          <w:sz w:val="20"/>
          <w:szCs w:val="20"/>
        </w:rPr>
        <w:t xml:space="preserve">. </w:t>
      </w:r>
    </w:p>
    <w:p w14:paraId="5418D5BB" w14:textId="032C821E" w:rsidR="00806947" w:rsidRDefault="00806947" w:rsidP="00A54D7D">
      <w:pPr>
        <w:pStyle w:val="Observation"/>
        <w:numPr>
          <w:ilvl w:val="0"/>
          <w:numId w:val="0"/>
        </w:numPr>
        <w:jc w:val="left"/>
        <w:rPr>
          <w:rStyle w:val="IvDbodytextChar"/>
          <w:rFonts w:cs="Arial"/>
        </w:rPr>
      </w:pPr>
    </w:p>
    <w:p w14:paraId="57CC3CBA" w14:textId="5CDA2417" w:rsidR="00806947" w:rsidRPr="008847FB" w:rsidRDefault="00806947" w:rsidP="00A54D7D">
      <w:pPr>
        <w:pStyle w:val="IvDInstructiontext"/>
        <w:numPr>
          <w:ilvl w:val="2"/>
          <w:numId w:val="29"/>
        </w:numPr>
        <w:rPr>
          <w:rStyle w:val="IvDbodytextChar"/>
          <w:rFonts w:cs="Arial"/>
          <w:b/>
          <w:bCs/>
          <w:i w:val="0"/>
          <w:color w:val="auto"/>
          <w:sz w:val="20"/>
          <w:szCs w:val="20"/>
        </w:rPr>
      </w:pPr>
      <w:r w:rsidRPr="008847FB">
        <w:rPr>
          <w:rStyle w:val="IvDbodytextChar"/>
          <w:rFonts w:cs="Arial"/>
          <w:b/>
          <w:bCs/>
          <w:i w:val="0"/>
          <w:color w:val="auto"/>
          <w:sz w:val="20"/>
          <w:szCs w:val="20"/>
        </w:rPr>
        <w:t xml:space="preserve">Enhancement on the MDT Configuration </w:t>
      </w:r>
    </w:p>
    <w:p w14:paraId="51428496" w14:textId="250EAF2D" w:rsidR="00806947" w:rsidRDefault="00806947" w:rsidP="00A54D7D">
      <w:pPr>
        <w:pStyle w:val="IvDInstructiontext"/>
        <w:rPr>
          <w:rStyle w:val="IvDbodytextChar"/>
          <w:rFonts w:cs="Arial"/>
          <w:i w:val="0"/>
          <w:color w:val="auto"/>
          <w:sz w:val="20"/>
          <w:szCs w:val="20"/>
        </w:rPr>
      </w:pPr>
      <w:r>
        <w:rPr>
          <w:rStyle w:val="IvDbodytextChar"/>
          <w:rFonts w:cs="Arial"/>
          <w:i w:val="0"/>
          <w:color w:val="auto"/>
          <w:sz w:val="20"/>
          <w:szCs w:val="20"/>
        </w:rPr>
        <w:t>Similarly</w:t>
      </w:r>
      <w:r w:rsidRPr="007F4DEF">
        <w:rPr>
          <w:rStyle w:val="IvDbodytextChar"/>
          <w:rFonts w:cs="Arial"/>
          <w:i w:val="0"/>
          <w:color w:val="auto"/>
          <w:sz w:val="20"/>
          <w:szCs w:val="20"/>
        </w:rPr>
        <w:t xml:space="preserve">, </w:t>
      </w:r>
      <w:r>
        <w:rPr>
          <w:rStyle w:val="IvDbodytextChar"/>
          <w:rFonts w:cs="Arial"/>
          <w:i w:val="0"/>
          <w:color w:val="auto"/>
          <w:sz w:val="20"/>
          <w:szCs w:val="20"/>
        </w:rPr>
        <w:t xml:space="preserve">a PN </w:t>
      </w:r>
      <w:r w:rsidRPr="007F4DEF">
        <w:rPr>
          <w:rStyle w:val="IvDbodytextChar"/>
          <w:rFonts w:cs="Arial"/>
          <w:i w:val="0"/>
          <w:color w:val="auto"/>
          <w:sz w:val="20"/>
          <w:szCs w:val="20"/>
        </w:rPr>
        <w:t>UE may collect MDT measurements on configured target frequencies for neighbor cells belonging to NPN</w:t>
      </w:r>
      <w:r>
        <w:rPr>
          <w:rStyle w:val="IvDbodytextChar"/>
          <w:rFonts w:cs="Arial"/>
          <w:i w:val="0"/>
          <w:color w:val="auto"/>
          <w:sz w:val="20"/>
          <w:szCs w:val="20"/>
        </w:rPr>
        <w:t xml:space="preserve"> when the cells operate on the same</w:t>
      </w:r>
      <w:r w:rsidRPr="00B1487C">
        <w:rPr>
          <w:rStyle w:val="IvDbodytextChar"/>
          <w:rFonts w:cs="Arial"/>
          <w:i w:val="0"/>
          <w:color w:val="auto"/>
          <w:sz w:val="20"/>
          <w:szCs w:val="20"/>
        </w:rPr>
        <w:t xml:space="preserve"> target carrier frequency</w:t>
      </w:r>
      <w:r w:rsidRPr="007F4DEF">
        <w:rPr>
          <w:rStyle w:val="IvDbodytextChar"/>
          <w:rFonts w:cs="Arial"/>
          <w:i w:val="0"/>
          <w:color w:val="auto"/>
          <w:sz w:val="20"/>
          <w:szCs w:val="20"/>
        </w:rPr>
        <w:t>.</w:t>
      </w:r>
      <w:r>
        <w:rPr>
          <w:rStyle w:val="IvDbodytextChar"/>
          <w:rFonts w:cs="Arial"/>
          <w:i w:val="0"/>
          <w:color w:val="auto"/>
          <w:sz w:val="20"/>
          <w:szCs w:val="20"/>
        </w:rPr>
        <w:t xml:space="preserve"> In other words, the</w:t>
      </w:r>
      <w:r w:rsidRPr="00BB7E8E">
        <w:rPr>
          <w:rStyle w:val="IvDbodytextChar"/>
          <w:rFonts w:cs="Arial"/>
          <w:i w:val="0"/>
          <w:color w:val="auto"/>
          <w:sz w:val="20"/>
          <w:szCs w:val="20"/>
        </w:rPr>
        <w:t xml:space="preserve"> UE</w:t>
      </w:r>
      <w:r>
        <w:rPr>
          <w:rStyle w:val="IvDbodytextChar"/>
          <w:rFonts w:cs="Arial"/>
          <w:i w:val="0"/>
          <w:color w:val="auto"/>
          <w:sz w:val="20"/>
          <w:szCs w:val="20"/>
        </w:rPr>
        <w:t xml:space="preserve"> </w:t>
      </w:r>
      <w:r w:rsidRPr="00BB7E8E">
        <w:rPr>
          <w:rStyle w:val="IvDbodytextChar"/>
          <w:rFonts w:cs="Arial"/>
          <w:i w:val="0"/>
          <w:color w:val="auto"/>
          <w:sz w:val="20"/>
          <w:szCs w:val="20"/>
        </w:rPr>
        <w:t>collect</w:t>
      </w:r>
      <w:r>
        <w:rPr>
          <w:rStyle w:val="IvDbodytextChar"/>
          <w:rFonts w:cs="Arial"/>
          <w:i w:val="0"/>
          <w:color w:val="auto"/>
          <w:sz w:val="20"/>
          <w:szCs w:val="20"/>
        </w:rPr>
        <w:t>s</w:t>
      </w:r>
      <w:r w:rsidRPr="00BB7E8E">
        <w:rPr>
          <w:rStyle w:val="IvDbodytextChar"/>
          <w:rFonts w:cs="Arial"/>
          <w:i w:val="0"/>
          <w:color w:val="auto"/>
          <w:sz w:val="20"/>
          <w:szCs w:val="20"/>
        </w:rPr>
        <w:t xml:space="preserve"> both PN and NPN related</w:t>
      </w:r>
      <w:r>
        <w:rPr>
          <w:rStyle w:val="IvDbodytextChar"/>
          <w:rFonts w:cs="Arial"/>
          <w:i w:val="0"/>
          <w:color w:val="auto"/>
          <w:sz w:val="20"/>
          <w:szCs w:val="20"/>
        </w:rPr>
        <w:t xml:space="preserve"> MDT measurement</w:t>
      </w:r>
      <w:r w:rsidRPr="00BB7E8E">
        <w:rPr>
          <w:rStyle w:val="IvDbodytextChar"/>
          <w:rFonts w:cs="Arial"/>
          <w:i w:val="0"/>
          <w:color w:val="auto"/>
          <w:sz w:val="20"/>
          <w:szCs w:val="20"/>
        </w:rPr>
        <w:t>s in logged MDT report</w:t>
      </w:r>
      <w:r>
        <w:rPr>
          <w:rStyle w:val="IvDbodytextChar"/>
          <w:rFonts w:cs="Arial"/>
          <w:i w:val="0"/>
          <w:color w:val="auto"/>
          <w:sz w:val="20"/>
          <w:szCs w:val="20"/>
        </w:rPr>
        <w:t xml:space="preserve"> wherein</w:t>
      </w:r>
      <w:r w:rsidRPr="007F4DEF">
        <w:rPr>
          <w:rStyle w:val="IvDbodytextChar"/>
          <w:rFonts w:cs="Arial"/>
          <w:i w:val="0"/>
          <w:color w:val="auto"/>
          <w:sz w:val="20"/>
          <w:szCs w:val="20"/>
        </w:rPr>
        <w:t xml:space="preserve"> two neighbor NPN and PN cells </w:t>
      </w:r>
      <w:r>
        <w:rPr>
          <w:rStyle w:val="IvDbodytextChar"/>
          <w:rFonts w:cs="Arial"/>
          <w:i w:val="0"/>
          <w:color w:val="auto"/>
          <w:sz w:val="20"/>
          <w:szCs w:val="20"/>
        </w:rPr>
        <w:t>are</w:t>
      </w:r>
      <w:r w:rsidRPr="007F4DEF">
        <w:rPr>
          <w:rStyle w:val="IvDbodytextChar"/>
          <w:rFonts w:cs="Arial"/>
          <w:i w:val="0"/>
          <w:color w:val="auto"/>
          <w:sz w:val="20"/>
          <w:szCs w:val="20"/>
        </w:rPr>
        <w:t xml:space="preserve"> </w:t>
      </w:r>
      <w:r w:rsidRPr="00D67E8F">
        <w:rPr>
          <w:rStyle w:val="IvDbodytextChar"/>
          <w:rFonts w:cs="Arial"/>
          <w:i w:val="0"/>
          <w:color w:val="auto"/>
          <w:sz w:val="20"/>
          <w:szCs w:val="20"/>
        </w:rPr>
        <w:t>sharing the target carrier frequency</w:t>
      </w:r>
      <w:r w:rsidRPr="007F4DEF">
        <w:rPr>
          <w:rStyle w:val="IvDbodytextChar"/>
          <w:rFonts w:cs="Arial"/>
          <w:i w:val="0"/>
          <w:color w:val="auto"/>
          <w:sz w:val="20"/>
          <w:szCs w:val="20"/>
        </w:rPr>
        <w:t xml:space="preserve"> (</w:t>
      </w:r>
      <w:r>
        <w:rPr>
          <w:rStyle w:val="IvDbodytextChar"/>
          <w:rFonts w:cs="Arial"/>
          <w:i w:val="0"/>
          <w:color w:val="auto"/>
          <w:sz w:val="20"/>
          <w:szCs w:val="20"/>
        </w:rPr>
        <w:t xml:space="preserve">e.g., </w:t>
      </w:r>
      <w:r w:rsidRPr="007F4DEF">
        <w:rPr>
          <w:rStyle w:val="IvDbodytextChar"/>
          <w:rFonts w:cs="Arial"/>
          <w:i w:val="0"/>
          <w:color w:val="auto"/>
          <w:sz w:val="20"/>
          <w:szCs w:val="20"/>
        </w:rPr>
        <w:t xml:space="preserve">configured as part of </w:t>
      </w:r>
      <w:proofErr w:type="spellStart"/>
      <w:r w:rsidRPr="007F4DEF">
        <w:rPr>
          <w:rStyle w:val="IvDbodytextChar"/>
          <w:rFonts w:cs="Arial"/>
          <w:i w:val="0"/>
          <w:color w:val="auto"/>
          <w:sz w:val="20"/>
          <w:szCs w:val="20"/>
        </w:rPr>
        <w:t>InterFreqTargetInfo</w:t>
      </w:r>
      <w:proofErr w:type="spellEnd"/>
      <w:r w:rsidRPr="007F4DEF">
        <w:rPr>
          <w:rStyle w:val="IvDbodytextChar"/>
          <w:rFonts w:cs="Arial"/>
          <w:i w:val="0"/>
          <w:color w:val="auto"/>
          <w:sz w:val="20"/>
          <w:szCs w:val="20"/>
        </w:rPr>
        <w:t xml:space="preserve">). </w:t>
      </w:r>
      <w:r>
        <w:rPr>
          <w:rStyle w:val="IvDbodytextChar"/>
          <w:rFonts w:cs="Arial"/>
          <w:i w:val="0"/>
          <w:color w:val="auto"/>
          <w:sz w:val="20"/>
          <w:szCs w:val="20"/>
        </w:rPr>
        <w:t>Therefore,</w:t>
      </w:r>
      <w:r w:rsidRPr="00BB7E8E">
        <w:rPr>
          <w:rStyle w:val="IvDbodytextChar"/>
          <w:rFonts w:cs="Arial"/>
          <w:i w:val="0"/>
          <w:color w:val="auto"/>
          <w:sz w:val="20"/>
          <w:szCs w:val="20"/>
        </w:rPr>
        <w:t xml:space="preserve"> building a coverage map </w:t>
      </w:r>
      <w:r>
        <w:rPr>
          <w:rStyle w:val="IvDbodytextChar"/>
          <w:rFonts w:cs="Arial"/>
          <w:i w:val="0"/>
          <w:color w:val="auto"/>
          <w:sz w:val="20"/>
          <w:szCs w:val="20"/>
        </w:rPr>
        <w:t>for</w:t>
      </w:r>
      <w:r w:rsidRPr="00BB7E8E">
        <w:rPr>
          <w:rStyle w:val="IvDbodytextChar"/>
          <w:rFonts w:cs="Arial"/>
          <w:i w:val="0"/>
          <w:color w:val="auto"/>
          <w:sz w:val="20"/>
          <w:szCs w:val="20"/>
        </w:rPr>
        <w:t xml:space="preserve"> network type</w:t>
      </w:r>
      <w:r>
        <w:rPr>
          <w:rStyle w:val="IvDbodytextChar"/>
          <w:rFonts w:cs="Arial"/>
          <w:i w:val="0"/>
          <w:color w:val="auto"/>
          <w:sz w:val="20"/>
          <w:szCs w:val="20"/>
        </w:rPr>
        <w:t>s</w:t>
      </w:r>
      <w:r w:rsidRPr="00BB7E8E">
        <w:rPr>
          <w:rStyle w:val="IvDbodytextChar"/>
          <w:rFonts w:cs="Arial"/>
          <w:i w:val="0"/>
          <w:color w:val="auto"/>
          <w:sz w:val="20"/>
          <w:szCs w:val="20"/>
        </w:rPr>
        <w:t xml:space="preserve"> e.g., PN, or NPN </w:t>
      </w:r>
      <w:r>
        <w:rPr>
          <w:rStyle w:val="IvDbodytextChar"/>
          <w:rFonts w:cs="Arial"/>
          <w:i w:val="0"/>
          <w:color w:val="auto"/>
          <w:sz w:val="20"/>
          <w:szCs w:val="20"/>
        </w:rPr>
        <w:t xml:space="preserve">for </w:t>
      </w:r>
      <w:r w:rsidR="00C95345">
        <w:rPr>
          <w:rStyle w:val="IvDbodytextChar"/>
          <w:rFonts w:cs="Arial"/>
          <w:i w:val="0"/>
          <w:color w:val="auto"/>
          <w:sz w:val="20"/>
          <w:szCs w:val="20"/>
        </w:rPr>
        <w:t xml:space="preserve">a given </w:t>
      </w:r>
      <w:r w:rsidR="00CC00FC">
        <w:rPr>
          <w:rStyle w:val="IvDbodytextChar"/>
          <w:rFonts w:cs="Arial"/>
          <w:i w:val="0"/>
          <w:color w:val="auto"/>
          <w:sz w:val="20"/>
          <w:szCs w:val="20"/>
        </w:rPr>
        <w:t>frequency may</w:t>
      </w:r>
      <w:r w:rsidRPr="00BB7E8E">
        <w:rPr>
          <w:rStyle w:val="IvDbodytextChar"/>
          <w:rFonts w:cs="Arial"/>
          <w:i w:val="0"/>
          <w:color w:val="auto"/>
          <w:sz w:val="20"/>
          <w:szCs w:val="20"/>
        </w:rPr>
        <w:t xml:space="preserve"> not</w:t>
      </w:r>
      <w:r>
        <w:rPr>
          <w:rStyle w:val="IvDbodytextChar"/>
          <w:rFonts w:cs="Arial"/>
          <w:i w:val="0"/>
          <w:color w:val="auto"/>
          <w:sz w:val="20"/>
          <w:szCs w:val="20"/>
        </w:rPr>
        <w:t xml:space="preserve"> be enough</w:t>
      </w:r>
      <w:r w:rsidRPr="00BB7E8E">
        <w:rPr>
          <w:rStyle w:val="IvDbodytextChar"/>
          <w:rFonts w:cs="Arial"/>
          <w:i w:val="0"/>
          <w:color w:val="auto"/>
          <w:sz w:val="20"/>
          <w:szCs w:val="20"/>
        </w:rPr>
        <w:t xml:space="preserve"> </w:t>
      </w:r>
      <w:r>
        <w:rPr>
          <w:rStyle w:val="IvDbodytextChar"/>
          <w:rFonts w:cs="Arial"/>
          <w:i w:val="0"/>
          <w:color w:val="auto"/>
          <w:sz w:val="20"/>
          <w:szCs w:val="20"/>
        </w:rPr>
        <w:t>accurate</w:t>
      </w:r>
      <w:r w:rsidRPr="00BB7E8E">
        <w:rPr>
          <w:rStyle w:val="IvDbodytextChar"/>
          <w:rFonts w:cs="Arial"/>
          <w:i w:val="0"/>
          <w:color w:val="auto"/>
          <w:sz w:val="20"/>
          <w:szCs w:val="20"/>
        </w:rPr>
        <w:t>.</w:t>
      </w:r>
      <w:r w:rsidRPr="00F706B5">
        <w:rPr>
          <w:rFonts w:cs="Arial"/>
          <w:i w:val="0"/>
          <w:color w:val="auto"/>
          <w:sz w:val="20"/>
          <w:szCs w:val="20"/>
        </w:rPr>
        <w:t xml:space="preserve"> </w:t>
      </w:r>
    </w:p>
    <w:p w14:paraId="7FE5403C" w14:textId="77777777" w:rsidR="00806947" w:rsidRDefault="00806947" w:rsidP="00A54D7D">
      <w:pPr>
        <w:pStyle w:val="IvDInstructiontext"/>
        <w:rPr>
          <w:rStyle w:val="IvDbodytextChar"/>
          <w:rFonts w:cs="Arial"/>
          <w:i w:val="0"/>
          <w:color w:val="auto"/>
          <w:sz w:val="20"/>
          <w:szCs w:val="20"/>
        </w:rPr>
      </w:pPr>
    </w:p>
    <w:p w14:paraId="18DE4485" w14:textId="693F914F" w:rsidR="00806947" w:rsidRPr="008669D7" w:rsidRDefault="00806947" w:rsidP="00A54D7D">
      <w:pPr>
        <w:pStyle w:val="Observation"/>
        <w:jc w:val="left"/>
        <w:rPr>
          <w:rFonts w:cs="Arial"/>
          <w:spacing w:val="2"/>
          <w:lang w:val="en-US" w:eastAsia="en-US"/>
        </w:rPr>
      </w:pPr>
      <w:bookmarkStart w:id="16" w:name="_Toc134717618"/>
      <w:bookmarkStart w:id="17" w:name="_Toc149818206"/>
      <w:r>
        <w:rPr>
          <w:rStyle w:val="IvDbodytextChar"/>
          <w:rFonts w:cs="Arial"/>
        </w:rPr>
        <w:t>As of now, building coverage map for an area (including both PN and NPN coverage) can be misleading for coverage analysis purpose, as MDT reports does not reflect the cell type (e.g., PN or NPN type), and a coverage of NPN maybe counted as coverage of PN and vice versa</w:t>
      </w:r>
      <w:r w:rsidR="000D5EDB">
        <w:rPr>
          <w:rStyle w:val="IvDbodytextChar"/>
          <w:rFonts w:cs="Arial"/>
        </w:rPr>
        <w:t xml:space="preserve"> </w:t>
      </w:r>
      <w:r w:rsidR="000D5EDB">
        <w:t>since PN and NPN can be deployed in the same frequency</w:t>
      </w:r>
      <w:r w:rsidRPr="004514D4">
        <w:rPr>
          <w:rStyle w:val="IvDbodytextChar"/>
          <w:rFonts w:cs="Arial"/>
        </w:rPr>
        <w:t>.</w:t>
      </w:r>
      <w:r w:rsidRPr="009216AA">
        <w:t xml:space="preserve"> </w:t>
      </w:r>
      <w:r>
        <w:t>Note that neighbouring cells measurement in MDT reports includes only PCI info of the cell.</w:t>
      </w:r>
      <w:bookmarkEnd w:id="16"/>
      <w:bookmarkEnd w:id="17"/>
    </w:p>
    <w:p w14:paraId="04582B54" w14:textId="18AF1117" w:rsidR="008669D7" w:rsidRDefault="008669D7" w:rsidP="00A54D7D">
      <w:pPr>
        <w:pStyle w:val="Observation"/>
        <w:jc w:val="left"/>
        <w:rPr>
          <w:rStyle w:val="IvDbodytextChar"/>
          <w:rFonts w:cs="Arial"/>
        </w:rPr>
      </w:pPr>
      <w:bookmarkStart w:id="18" w:name="_Toc149818207"/>
      <w:r>
        <w:rPr>
          <w:rStyle w:val="IvDbodytextChar"/>
          <w:rFonts w:cs="Arial"/>
        </w:rPr>
        <w:t xml:space="preserve">Management system is not </w:t>
      </w:r>
      <w:r w:rsidR="00AF6555">
        <w:rPr>
          <w:rStyle w:val="IvDbodytextChar"/>
          <w:rFonts w:cs="Arial"/>
        </w:rPr>
        <w:t>able</w:t>
      </w:r>
      <w:r>
        <w:rPr>
          <w:rStyle w:val="IvDbodytextChar"/>
          <w:rFonts w:cs="Arial"/>
        </w:rPr>
        <w:t xml:space="preserve"> to collect the MDT </w:t>
      </w:r>
      <w:r w:rsidR="00D25D74">
        <w:rPr>
          <w:rStyle w:val="IvDbodytextChar"/>
          <w:rFonts w:cs="Arial"/>
        </w:rPr>
        <w:t>measurements particularly</w:t>
      </w:r>
      <w:r>
        <w:rPr>
          <w:rStyle w:val="IvDbodytextChar"/>
          <w:rFonts w:cs="Arial"/>
        </w:rPr>
        <w:t xml:space="preserve"> for </w:t>
      </w:r>
      <w:r w:rsidR="00D25D74">
        <w:rPr>
          <w:rStyle w:val="IvDbodytextChar"/>
          <w:rFonts w:cs="Arial"/>
        </w:rPr>
        <w:t>PN or NPN in certain frequencies.</w:t>
      </w:r>
      <w:bookmarkEnd w:id="18"/>
    </w:p>
    <w:p w14:paraId="21F76C93" w14:textId="77777777" w:rsidR="00806947" w:rsidRPr="00905610" w:rsidRDefault="00806947" w:rsidP="00A54D7D">
      <w:pPr>
        <w:pStyle w:val="IvDInstructiontext"/>
        <w:rPr>
          <w:rStyle w:val="IvDbodytextChar"/>
          <w:rFonts w:cs="Arial"/>
          <w:i w:val="0"/>
          <w:color w:val="auto"/>
          <w:sz w:val="20"/>
          <w:szCs w:val="20"/>
        </w:rPr>
      </w:pPr>
      <w:r>
        <w:rPr>
          <w:rStyle w:val="IvDbodytextChar"/>
          <w:rFonts w:cs="Arial"/>
          <w:i w:val="0"/>
          <w:color w:val="auto"/>
          <w:sz w:val="20"/>
          <w:szCs w:val="20"/>
          <w:lang w:val="en-GB"/>
        </w:rPr>
        <w:t>W</w:t>
      </w:r>
      <w:r w:rsidRPr="00133010">
        <w:rPr>
          <w:rStyle w:val="IvDbodytextChar"/>
          <w:rFonts w:cs="Arial"/>
          <w:i w:val="0"/>
          <w:color w:val="auto"/>
          <w:sz w:val="20"/>
          <w:szCs w:val="20"/>
        </w:rPr>
        <w:t>e request RAN2 to discuss UE behavior</w:t>
      </w:r>
      <w:r>
        <w:rPr>
          <w:rStyle w:val="IvDbodytextChar"/>
          <w:rFonts w:cs="Arial"/>
          <w:i w:val="0"/>
          <w:color w:val="auto"/>
          <w:sz w:val="20"/>
          <w:szCs w:val="20"/>
        </w:rPr>
        <w:t xml:space="preserve"> for</w:t>
      </w:r>
      <w:r w:rsidRPr="00133010">
        <w:rPr>
          <w:rStyle w:val="IvDbodytextChar"/>
          <w:rFonts w:cs="Arial"/>
          <w:i w:val="0"/>
          <w:color w:val="auto"/>
          <w:sz w:val="20"/>
          <w:szCs w:val="20"/>
        </w:rPr>
        <w:t xml:space="preserve"> </w:t>
      </w:r>
      <w:r w:rsidRPr="00232338">
        <w:rPr>
          <w:rStyle w:val="IvDbodytextChar"/>
          <w:rFonts w:cs="Arial"/>
          <w:i w:val="0"/>
          <w:color w:val="auto"/>
          <w:sz w:val="20"/>
          <w:szCs w:val="20"/>
        </w:rPr>
        <w:t>collect</w:t>
      </w:r>
      <w:r>
        <w:rPr>
          <w:rStyle w:val="IvDbodytextChar"/>
          <w:rFonts w:cs="Arial"/>
          <w:i w:val="0"/>
          <w:color w:val="auto"/>
          <w:sz w:val="20"/>
          <w:szCs w:val="20"/>
        </w:rPr>
        <w:t>ing</w:t>
      </w:r>
      <w:r w:rsidRPr="00232338">
        <w:rPr>
          <w:rStyle w:val="IvDbodytextChar"/>
          <w:rFonts w:cs="Arial"/>
          <w:i w:val="0"/>
          <w:color w:val="auto"/>
          <w:sz w:val="20"/>
          <w:szCs w:val="20"/>
        </w:rPr>
        <w:t xml:space="preserve"> </w:t>
      </w:r>
      <w:r>
        <w:rPr>
          <w:rStyle w:val="IvDbodytextChar"/>
          <w:rFonts w:cs="Arial"/>
          <w:i w:val="0"/>
          <w:color w:val="auto"/>
          <w:sz w:val="20"/>
          <w:szCs w:val="20"/>
        </w:rPr>
        <w:t xml:space="preserve">logged MDT measurements </w:t>
      </w:r>
      <w:r w:rsidRPr="005E0B50">
        <w:rPr>
          <w:rStyle w:val="IvDbodytextChar"/>
          <w:rFonts w:cs="Arial"/>
          <w:i w:val="0"/>
          <w:color w:val="auto"/>
          <w:sz w:val="20"/>
          <w:szCs w:val="20"/>
        </w:rPr>
        <w:t>concerning the target carrier frequency</w:t>
      </w:r>
      <w:r>
        <w:rPr>
          <w:rStyle w:val="IvDbodytextChar"/>
          <w:rFonts w:cs="Arial"/>
          <w:i w:val="0"/>
          <w:color w:val="auto"/>
          <w:sz w:val="20"/>
          <w:szCs w:val="20"/>
        </w:rPr>
        <w:t>:</w:t>
      </w:r>
    </w:p>
    <w:p w14:paraId="2C0CF71B" w14:textId="77777777" w:rsidR="00806947" w:rsidRDefault="00806947" w:rsidP="00A54D7D">
      <w:pPr>
        <w:pStyle w:val="Proposal"/>
        <w:numPr>
          <w:ilvl w:val="0"/>
          <w:numId w:val="0"/>
        </w:numPr>
        <w:jc w:val="left"/>
        <w:rPr>
          <w:rStyle w:val="IvDbodytextChar"/>
          <w:rFonts w:cs="Arial"/>
          <w:b w:val="0"/>
          <w:bCs w:val="0"/>
        </w:rPr>
      </w:pPr>
    </w:p>
    <w:p w14:paraId="4595A87F" w14:textId="06DFC40F" w:rsidR="00CC00FC" w:rsidRPr="001D6076" w:rsidRDefault="00806947" w:rsidP="00A54D7D">
      <w:pPr>
        <w:pStyle w:val="Proposal"/>
        <w:jc w:val="left"/>
        <w:rPr>
          <w:rFonts w:cs="Arial"/>
          <w:spacing w:val="2"/>
          <w:lang w:eastAsia="en-US"/>
        </w:rPr>
      </w:pPr>
      <w:bookmarkStart w:id="19" w:name="_Toc115257276"/>
      <w:bookmarkStart w:id="20" w:name="_Toc134717609"/>
      <w:bookmarkStart w:id="21" w:name="_Toc149818243"/>
      <w:bookmarkEnd w:id="19"/>
      <w:r>
        <w:rPr>
          <w:rFonts w:cs="Arial"/>
        </w:rPr>
        <w:t>RAN2</w:t>
      </w:r>
      <w:r w:rsidR="007026C8">
        <w:rPr>
          <w:rFonts w:cs="Arial"/>
        </w:rPr>
        <w:t xml:space="preserve"> to</w:t>
      </w:r>
      <w:r>
        <w:rPr>
          <w:rFonts w:cs="Arial"/>
        </w:rPr>
        <w:t xml:space="preserve"> enhance the MDT configuration (</w:t>
      </w:r>
      <w:proofErr w:type="spellStart"/>
      <w:r w:rsidRPr="00411733">
        <w:rPr>
          <w:rFonts w:cs="Arial"/>
          <w:i/>
          <w:iCs/>
        </w:rPr>
        <w:t>interFreqTargetInfo</w:t>
      </w:r>
      <w:proofErr w:type="spellEnd"/>
      <w:r>
        <w:rPr>
          <w:rFonts w:cs="Arial"/>
        </w:rPr>
        <w:t>) to enable logging only NPN or PN cells per frequency.</w:t>
      </w:r>
      <w:bookmarkEnd w:id="20"/>
      <w:bookmarkEnd w:id="21"/>
    </w:p>
    <w:p w14:paraId="639D42BC" w14:textId="77777777" w:rsidR="003B49DD" w:rsidRPr="00D21945" w:rsidRDefault="003B49DD" w:rsidP="00A54D7D">
      <w:pPr>
        <w:pStyle w:val="IvDInstructiontext"/>
        <w:rPr>
          <w:rStyle w:val="IvDbodytextChar"/>
          <w:i w:val="0"/>
          <w:color w:val="auto"/>
          <w:sz w:val="20"/>
          <w:szCs w:val="20"/>
          <w:lang w:val="en-GB"/>
        </w:rPr>
      </w:pPr>
    </w:p>
    <w:p w14:paraId="20D74898" w14:textId="77777777" w:rsidR="00C01F33" w:rsidRPr="00CE0424" w:rsidRDefault="00C01F33" w:rsidP="00CE0424">
      <w:pPr>
        <w:pStyle w:val="Heading1"/>
      </w:pPr>
      <w:r w:rsidRPr="00CE0424">
        <w:t>Conclusion</w:t>
      </w:r>
    </w:p>
    <w:p w14:paraId="7E08B161" w14:textId="77777777" w:rsidR="008E065E" w:rsidRDefault="008E065E" w:rsidP="00A54D7D">
      <w:pPr>
        <w:pStyle w:val="BodyText"/>
        <w:jc w:val="lef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1310446" w14:textId="77777777" w:rsidR="009A5E1E"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lastRenderedPageBreak/>
        <w:fldChar w:fldCharType="begin"/>
      </w:r>
      <w:r>
        <w:rPr>
          <w:b w:val="0"/>
          <w:bCs/>
        </w:rPr>
        <w:instrText xml:space="preserve"> TOC \f O \n \h \z \t "Observation" \c </w:instrText>
      </w:r>
      <w:r>
        <w:rPr>
          <w:b w:val="0"/>
          <w:bCs/>
        </w:rPr>
        <w:fldChar w:fldCharType="separate"/>
      </w:r>
      <w:hyperlink w:anchor="_Toc149818204" w:history="1">
        <w:r w:rsidR="009A5E1E" w:rsidRPr="001C2583">
          <w:rPr>
            <w:rStyle w:val="Hyperlink"/>
            <w:rFonts w:cs="Arial"/>
            <w:noProof/>
            <w:spacing w:val="2"/>
            <w:lang w:val="en-US" w:eastAsia="en-US"/>
          </w:rPr>
          <w:t>Observation 1</w:t>
        </w:r>
        <w:r w:rsidR="009A5E1E">
          <w:rPr>
            <w:rFonts w:asciiTheme="minorHAnsi" w:eastAsiaTheme="minorEastAsia" w:hAnsiTheme="minorHAnsi" w:cstheme="minorBidi"/>
            <w:b w:val="0"/>
            <w:noProof/>
            <w:kern w:val="2"/>
            <w:sz w:val="24"/>
            <w:szCs w:val="24"/>
            <w:lang w:val="en-SE" w:eastAsia="en-GB"/>
            <w14:ligatures w14:val="standardContextual"/>
          </w:rPr>
          <w:tab/>
        </w:r>
        <w:r w:rsidR="009A5E1E" w:rsidRPr="001C2583">
          <w:rPr>
            <w:rStyle w:val="Hyperlink"/>
            <w:rFonts w:cs="Arial"/>
            <w:noProof/>
            <w:spacing w:val="2"/>
            <w:lang w:val="en-US" w:eastAsia="en-US"/>
          </w:rPr>
          <w:t>Inclusion of CAG information in RLF/HOF report may be used for observability purpose but has no clear benefit for MRO.</w:t>
        </w:r>
      </w:hyperlink>
    </w:p>
    <w:p w14:paraId="607DE2F2" w14:textId="77777777" w:rsidR="009A5E1E" w:rsidRDefault="0075295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18205" w:history="1">
        <w:r w:rsidR="009A5E1E" w:rsidRPr="001C2583">
          <w:rPr>
            <w:rStyle w:val="Hyperlink"/>
            <w:rFonts w:cs="Arial"/>
            <w:noProof/>
            <w:spacing w:val="2"/>
            <w:lang w:val="en-US" w:eastAsia="en-US"/>
          </w:rPr>
          <w:t>Observation 2</w:t>
        </w:r>
        <w:r w:rsidR="009A5E1E">
          <w:rPr>
            <w:rFonts w:asciiTheme="minorHAnsi" w:eastAsiaTheme="minorEastAsia" w:hAnsiTheme="minorHAnsi" w:cstheme="minorBidi"/>
            <w:b w:val="0"/>
            <w:noProof/>
            <w:kern w:val="2"/>
            <w:sz w:val="24"/>
            <w:szCs w:val="24"/>
            <w:lang w:val="en-SE" w:eastAsia="en-GB"/>
            <w14:ligatures w14:val="standardContextual"/>
          </w:rPr>
          <w:tab/>
        </w:r>
        <w:r w:rsidR="009A5E1E" w:rsidRPr="001C2583">
          <w:rPr>
            <w:rStyle w:val="Hyperlink"/>
            <w:rFonts w:cs="Arial"/>
            <w:noProof/>
            <w:spacing w:val="2"/>
            <w:lang w:val="en-US" w:eastAsia="en-US"/>
          </w:rPr>
          <w:t>If a UE served by PN, registers to SNPN and later returns to PN, it is unclear what is logged and reported by the UE in the MHI.</w:t>
        </w:r>
      </w:hyperlink>
    </w:p>
    <w:p w14:paraId="58783EDF" w14:textId="77777777" w:rsidR="009A5E1E" w:rsidRDefault="0075295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18206" w:history="1">
        <w:r w:rsidR="009A5E1E" w:rsidRPr="001C2583">
          <w:rPr>
            <w:rStyle w:val="Hyperlink"/>
            <w:rFonts w:cs="Arial"/>
            <w:noProof/>
            <w:spacing w:val="2"/>
            <w:lang w:val="en-US" w:eastAsia="en-US"/>
          </w:rPr>
          <w:t>Observation 3</w:t>
        </w:r>
        <w:r w:rsidR="009A5E1E">
          <w:rPr>
            <w:rFonts w:asciiTheme="minorHAnsi" w:eastAsiaTheme="minorEastAsia" w:hAnsiTheme="minorHAnsi" w:cstheme="minorBidi"/>
            <w:b w:val="0"/>
            <w:noProof/>
            <w:kern w:val="2"/>
            <w:sz w:val="24"/>
            <w:szCs w:val="24"/>
            <w:lang w:val="en-SE" w:eastAsia="en-GB"/>
            <w14:ligatures w14:val="standardContextual"/>
          </w:rPr>
          <w:tab/>
        </w:r>
        <w:r w:rsidR="009A5E1E" w:rsidRPr="001C2583">
          <w:rPr>
            <w:rStyle w:val="Hyperlink"/>
            <w:rFonts w:cs="Arial"/>
            <w:noProof/>
            <w:spacing w:val="2"/>
            <w:lang w:val="en-US" w:eastAsia="en-US"/>
          </w:rPr>
          <w:t>As of now, building coverage map for an area (including both PN and NPN coverage) can be misleading for coverage analysis purpose, as MDT reports does not reflect the cell type (e.g., PN or NPN type), and a coverage of NPN maybe counted as coverage of PN and vice versa.</w:t>
        </w:r>
        <w:r w:rsidR="009A5E1E" w:rsidRPr="001C2583">
          <w:rPr>
            <w:rStyle w:val="Hyperlink"/>
            <w:noProof/>
          </w:rPr>
          <w:t xml:space="preserve"> Note that neighbouring cells measurement in MDT reports includes only PCI info of the cell.</w:t>
        </w:r>
      </w:hyperlink>
    </w:p>
    <w:p w14:paraId="1810CC80" w14:textId="77777777" w:rsidR="009A5E1E" w:rsidRDefault="0075295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18207" w:history="1">
        <w:r w:rsidR="009A5E1E" w:rsidRPr="001C2583">
          <w:rPr>
            <w:rStyle w:val="Hyperlink"/>
            <w:rFonts w:cs="Arial"/>
            <w:noProof/>
            <w:spacing w:val="2"/>
            <w:lang w:val="en-US" w:eastAsia="en-US"/>
          </w:rPr>
          <w:t>Observation 4</w:t>
        </w:r>
        <w:r w:rsidR="009A5E1E">
          <w:rPr>
            <w:rFonts w:asciiTheme="minorHAnsi" w:eastAsiaTheme="minorEastAsia" w:hAnsiTheme="minorHAnsi" w:cstheme="minorBidi"/>
            <w:b w:val="0"/>
            <w:noProof/>
            <w:kern w:val="2"/>
            <w:sz w:val="24"/>
            <w:szCs w:val="24"/>
            <w:lang w:val="en-SE" w:eastAsia="en-GB"/>
            <w14:ligatures w14:val="standardContextual"/>
          </w:rPr>
          <w:tab/>
        </w:r>
        <w:r w:rsidR="009A5E1E" w:rsidRPr="001C2583">
          <w:rPr>
            <w:rStyle w:val="Hyperlink"/>
            <w:rFonts w:cs="Arial"/>
            <w:noProof/>
            <w:spacing w:val="2"/>
            <w:lang w:val="en-US" w:eastAsia="en-US"/>
          </w:rPr>
          <w:t>Management system is not able to collect the MDT measurements particularly for PN or NPN in certain frequencies.</w:t>
        </w:r>
      </w:hyperlink>
    </w:p>
    <w:p w14:paraId="029CA090" w14:textId="57821C05" w:rsidR="006E1C82" w:rsidRDefault="006F6582" w:rsidP="00A54D7D">
      <w:pPr>
        <w:pStyle w:val="BodyText"/>
        <w:jc w:val="left"/>
        <w:rPr>
          <w:b/>
          <w:bCs/>
        </w:rPr>
      </w:pPr>
      <w:r>
        <w:rPr>
          <w:b/>
          <w:bCs/>
        </w:rPr>
        <w:fldChar w:fldCharType="end"/>
      </w:r>
    </w:p>
    <w:p w14:paraId="4DC87846" w14:textId="77777777" w:rsidR="006E1C82" w:rsidRDefault="008E065E" w:rsidP="00A54D7D">
      <w:pPr>
        <w:pStyle w:val="BodyText"/>
        <w:jc w:val="lef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44D26A0" w14:textId="77777777" w:rsidR="001C032F" w:rsidRDefault="001C032F" w:rsidP="00A54D7D">
      <w:pPr>
        <w:pStyle w:val="BodyText"/>
        <w:jc w:val="left"/>
      </w:pPr>
    </w:p>
    <w:p w14:paraId="763EEBE6" w14:textId="77777777" w:rsidR="00D97FF6"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18235" w:history="1">
        <w:r w:rsidR="00D97FF6" w:rsidRPr="00C67096">
          <w:rPr>
            <w:rStyle w:val="Hyperlink"/>
            <w:noProof/>
            <w:lang w:val="en-US"/>
          </w:rPr>
          <w:t>Proposal 1</w:t>
        </w:r>
        <w:r w:rsidR="00D97FF6">
          <w:rPr>
            <w:rFonts w:asciiTheme="minorHAnsi" w:eastAsiaTheme="minorEastAsia" w:hAnsiTheme="minorHAnsi" w:cstheme="minorBidi"/>
            <w:b w:val="0"/>
            <w:noProof/>
            <w:kern w:val="2"/>
            <w:sz w:val="24"/>
            <w:szCs w:val="24"/>
            <w:lang w:val="en-SE" w:eastAsia="en-GB"/>
            <w14:ligatures w14:val="standardContextual"/>
          </w:rPr>
          <w:tab/>
        </w:r>
        <w:r w:rsidR="00D97FF6" w:rsidRPr="00C67096">
          <w:rPr>
            <w:rStyle w:val="Hyperlink"/>
            <w:noProof/>
            <w:lang w:val="en-US"/>
          </w:rPr>
          <w:t>Upon logging the RA report for a new SNPN, the UE deletes the existing RA reports in VarRA-Report (collected the previous non-equivalent SNPNs/PLMN).</w:t>
        </w:r>
      </w:hyperlink>
    </w:p>
    <w:p w14:paraId="66ECD2DC" w14:textId="77777777" w:rsidR="00D97FF6" w:rsidRDefault="0075295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18236" w:history="1">
        <w:r w:rsidR="00D97FF6" w:rsidRPr="00C67096">
          <w:rPr>
            <w:rStyle w:val="Hyperlink"/>
            <w:noProof/>
          </w:rPr>
          <w:t>Proposal 2</w:t>
        </w:r>
        <w:r w:rsidR="00D97FF6">
          <w:rPr>
            <w:rFonts w:asciiTheme="minorHAnsi" w:eastAsiaTheme="minorEastAsia" w:hAnsiTheme="minorHAnsi" w:cstheme="minorBidi"/>
            <w:b w:val="0"/>
            <w:noProof/>
            <w:kern w:val="2"/>
            <w:sz w:val="24"/>
            <w:szCs w:val="24"/>
            <w:lang w:val="en-SE" w:eastAsia="en-GB"/>
            <w14:ligatures w14:val="standardContextual"/>
          </w:rPr>
          <w:tab/>
        </w:r>
        <w:r w:rsidR="00D97FF6" w:rsidRPr="00C67096">
          <w:rPr>
            <w:rStyle w:val="Hyperlink"/>
            <w:noProof/>
            <w:lang w:val="en-US"/>
          </w:rPr>
          <w:t>UE does not add CAG information in the RLF/HOF report.</w:t>
        </w:r>
      </w:hyperlink>
    </w:p>
    <w:p w14:paraId="266228F3" w14:textId="77777777" w:rsidR="00D97FF6" w:rsidRDefault="0075295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18237" w:history="1">
        <w:r w:rsidR="00D97FF6" w:rsidRPr="00C67096">
          <w:rPr>
            <w:rStyle w:val="Hyperlink"/>
            <w:rFonts w:cs="Arial"/>
            <w:noProof/>
          </w:rPr>
          <w:t>Proposal 3</w:t>
        </w:r>
        <w:r w:rsidR="00D97FF6">
          <w:rPr>
            <w:rFonts w:asciiTheme="minorHAnsi" w:eastAsiaTheme="minorEastAsia" w:hAnsiTheme="minorHAnsi" w:cstheme="minorBidi"/>
            <w:b w:val="0"/>
            <w:noProof/>
            <w:kern w:val="2"/>
            <w:sz w:val="24"/>
            <w:szCs w:val="24"/>
            <w:lang w:val="en-SE" w:eastAsia="en-GB"/>
            <w14:ligatures w14:val="standardContextual"/>
          </w:rPr>
          <w:tab/>
        </w:r>
        <w:r w:rsidR="00D97FF6" w:rsidRPr="00C67096">
          <w:rPr>
            <w:rStyle w:val="Hyperlink"/>
            <w:rFonts w:cs="Arial"/>
            <w:noProof/>
            <w:lang w:val="en-US"/>
          </w:rPr>
          <w:t xml:space="preserve">UE logs </w:t>
        </w:r>
        <w:r w:rsidR="00D97FF6" w:rsidRPr="00C67096">
          <w:rPr>
            <w:rStyle w:val="Hyperlink"/>
            <w:rFonts w:cs="Arial"/>
            <w:noProof/>
          </w:rPr>
          <w:t>the information of the location wherein SNPN access failed due to OoC, either in</w:t>
        </w:r>
      </w:hyperlink>
    </w:p>
    <w:p w14:paraId="1EC9C2C1" w14:textId="77777777" w:rsidR="00D97FF6" w:rsidRDefault="0075295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18238" w:history="1">
        <w:r w:rsidR="00D97FF6" w:rsidRPr="00C67096">
          <w:rPr>
            <w:rStyle w:val="Hyperlink"/>
            <w:rFonts w:cs="Arial"/>
            <w:noProof/>
          </w:rPr>
          <w:t>a.</w:t>
        </w:r>
        <w:r w:rsidR="00D97FF6">
          <w:rPr>
            <w:rFonts w:asciiTheme="minorHAnsi" w:eastAsiaTheme="minorEastAsia" w:hAnsiTheme="minorHAnsi" w:cstheme="minorBidi"/>
            <w:b w:val="0"/>
            <w:noProof/>
            <w:kern w:val="2"/>
            <w:sz w:val="24"/>
            <w:szCs w:val="24"/>
            <w:lang w:val="en-SE" w:eastAsia="en-GB"/>
            <w14:ligatures w14:val="standardContextual"/>
          </w:rPr>
          <w:tab/>
        </w:r>
        <w:r w:rsidR="00D97FF6" w:rsidRPr="00C67096">
          <w:rPr>
            <w:rStyle w:val="Hyperlink"/>
            <w:rFonts w:cs="Arial"/>
            <w:noProof/>
          </w:rPr>
          <w:t>an RA report, or</w:t>
        </w:r>
      </w:hyperlink>
    </w:p>
    <w:p w14:paraId="3D411CBD" w14:textId="77777777" w:rsidR="00D97FF6" w:rsidRDefault="0075295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18239" w:history="1">
        <w:r w:rsidR="00D97FF6" w:rsidRPr="00C67096">
          <w:rPr>
            <w:rStyle w:val="Hyperlink"/>
            <w:rFonts w:cs="Arial"/>
            <w:noProof/>
          </w:rPr>
          <w:t>b.</w:t>
        </w:r>
        <w:r w:rsidR="00D97FF6">
          <w:rPr>
            <w:rFonts w:asciiTheme="minorHAnsi" w:eastAsiaTheme="minorEastAsia" w:hAnsiTheme="minorHAnsi" w:cstheme="minorBidi"/>
            <w:b w:val="0"/>
            <w:noProof/>
            <w:kern w:val="2"/>
            <w:sz w:val="24"/>
            <w:szCs w:val="24"/>
            <w:lang w:val="en-SE" w:eastAsia="en-GB"/>
            <w14:ligatures w14:val="standardContextual"/>
          </w:rPr>
          <w:tab/>
        </w:r>
        <w:r w:rsidR="00D97FF6" w:rsidRPr="00C67096">
          <w:rPr>
            <w:rStyle w:val="Hyperlink"/>
            <w:rFonts w:cs="Arial"/>
            <w:noProof/>
          </w:rPr>
          <w:t>a CEF report</w:t>
        </w:r>
      </w:hyperlink>
    </w:p>
    <w:p w14:paraId="05F84219" w14:textId="77777777" w:rsidR="00D97FF6" w:rsidRDefault="0075295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18240" w:history="1">
        <w:r w:rsidR="00D97FF6" w:rsidRPr="00C67096">
          <w:rPr>
            <w:rStyle w:val="Hyperlink"/>
            <w:rFonts w:cs="Arial"/>
            <w:noProof/>
            <w:lang w:val="en-US"/>
          </w:rPr>
          <w:t>Proposal 4</w:t>
        </w:r>
        <w:r w:rsidR="00D97FF6">
          <w:rPr>
            <w:rFonts w:asciiTheme="minorHAnsi" w:eastAsiaTheme="minorEastAsia" w:hAnsiTheme="minorHAnsi" w:cstheme="minorBidi"/>
            <w:b w:val="0"/>
            <w:noProof/>
            <w:kern w:val="2"/>
            <w:sz w:val="24"/>
            <w:szCs w:val="24"/>
            <w:lang w:val="en-SE" w:eastAsia="en-GB"/>
            <w14:ligatures w14:val="standardContextual"/>
          </w:rPr>
          <w:tab/>
        </w:r>
        <w:r w:rsidR="00D97FF6" w:rsidRPr="00C67096">
          <w:rPr>
            <w:rStyle w:val="Hyperlink"/>
            <w:rFonts w:cs="Arial"/>
            <w:noProof/>
            <w:lang w:val="en-US"/>
          </w:rPr>
          <w:t>RAN2 to discuss following options to enhance MHI for NPN:</w:t>
        </w:r>
      </w:hyperlink>
    </w:p>
    <w:p w14:paraId="200C7ED8" w14:textId="77777777" w:rsidR="00D97FF6" w:rsidRDefault="0075295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18241" w:history="1">
        <w:r w:rsidR="00D97FF6" w:rsidRPr="00C67096">
          <w:rPr>
            <w:rStyle w:val="Hyperlink"/>
            <w:rFonts w:cs="Arial"/>
            <w:noProof/>
            <w:lang w:val="en-US"/>
          </w:rPr>
          <w:t>Option a: UE deletes stored MHI upon de-registering from a network.</w:t>
        </w:r>
      </w:hyperlink>
    </w:p>
    <w:p w14:paraId="1A6ADC11" w14:textId="77777777" w:rsidR="00D97FF6" w:rsidRDefault="0075295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18242" w:history="1">
        <w:r w:rsidR="00D97FF6" w:rsidRPr="00C67096">
          <w:rPr>
            <w:rStyle w:val="Hyperlink"/>
            <w:rFonts w:cs="Arial"/>
            <w:noProof/>
            <w:lang w:val="en-US"/>
          </w:rPr>
          <w:t>Option b: MHI is enhanced to include a single entry logging the time UE spent in last SNPN (SNPN cell IDs and timespan in the visited SNPN cells are NOT logged).</w:t>
        </w:r>
      </w:hyperlink>
    </w:p>
    <w:p w14:paraId="1089497A" w14:textId="77777777" w:rsidR="00D97FF6" w:rsidRDefault="0075295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18243" w:history="1">
        <w:r w:rsidR="00D97FF6" w:rsidRPr="00C67096">
          <w:rPr>
            <w:rStyle w:val="Hyperlink"/>
            <w:rFonts w:cs="Arial"/>
            <w:noProof/>
            <w:spacing w:val="2"/>
            <w:lang w:eastAsia="en-US"/>
          </w:rPr>
          <w:t>Proposal 5</w:t>
        </w:r>
        <w:r w:rsidR="00D97FF6">
          <w:rPr>
            <w:rFonts w:asciiTheme="minorHAnsi" w:eastAsiaTheme="minorEastAsia" w:hAnsiTheme="minorHAnsi" w:cstheme="minorBidi"/>
            <w:b w:val="0"/>
            <w:noProof/>
            <w:kern w:val="2"/>
            <w:sz w:val="24"/>
            <w:szCs w:val="24"/>
            <w:lang w:val="en-SE" w:eastAsia="en-GB"/>
            <w14:ligatures w14:val="standardContextual"/>
          </w:rPr>
          <w:tab/>
        </w:r>
        <w:r w:rsidR="00D97FF6" w:rsidRPr="00C67096">
          <w:rPr>
            <w:rStyle w:val="Hyperlink"/>
            <w:rFonts w:cs="Arial"/>
            <w:noProof/>
          </w:rPr>
          <w:t>RAN2 to enhance the MDT configuration (</w:t>
        </w:r>
        <w:r w:rsidR="00D97FF6" w:rsidRPr="00C67096">
          <w:rPr>
            <w:rStyle w:val="Hyperlink"/>
            <w:rFonts w:cs="Arial"/>
            <w:i/>
            <w:iCs/>
            <w:noProof/>
          </w:rPr>
          <w:t>interFreqTargetInfo</w:t>
        </w:r>
        <w:r w:rsidR="00D97FF6" w:rsidRPr="00C67096">
          <w:rPr>
            <w:rStyle w:val="Hyperlink"/>
            <w:rFonts w:cs="Arial"/>
            <w:noProof/>
          </w:rPr>
          <w:t>) to enable logging only NPN or PN cells per frequency.</w:t>
        </w:r>
      </w:hyperlink>
    </w:p>
    <w:p w14:paraId="64F3E645" w14:textId="7DD483DD" w:rsidR="00C01F33" w:rsidRPr="00CE0424" w:rsidRDefault="006E1C82" w:rsidP="006A720B">
      <w:pPr>
        <w:pStyle w:val="BodyText"/>
        <w:jc w:val="left"/>
      </w:pPr>
      <w:r>
        <w:rPr>
          <w:b/>
          <w:bCs/>
          <w:lang w:val="en-US"/>
        </w:rPr>
        <w:fldChar w:fldCharType="end"/>
      </w:r>
      <w:r w:rsidRPr="00CE0424">
        <w:rPr>
          <w:b/>
          <w:bCs/>
        </w:rPr>
        <w:t xml:space="preserve"> </w:t>
      </w:r>
    </w:p>
    <w:p w14:paraId="7BD5CFC3" w14:textId="77777777" w:rsidR="00F507D1" w:rsidRPr="00CE0424" w:rsidRDefault="00F507D1" w:rsidP="00CE0424">
      <w:pPr>
        <w:pStyle w:val="Heading1"/>
      </w:pPr>
      <w:bookmarkStart w:id="22" w:name="_In-sequence_SDU_delivery"/>
      <w:bookmarkEnd w:id="22"/>
      <w:r w:rsidRPr="00CE0424">
        <w:t>References</w:t>
      </w:r>
    </w:p>
    <w:p w14:paraId="3008BF81" w14:textId="47A91526" w:rsidR="00CE706A" w:rsidRPr="00CE0424" w:rsidRDefault="00FB68E7" w:rsidP="00BD5AE4">
      <w:pPr>
        <w:pStyle w:val="Reference"/>
        <w:jc w:val="left"/>
      </w:pPr>
      <w:bookmarkStart w:id="23" w:name="_Ref174151459"/>
      <w:bookmarkStart w:id="24" w:name="_Ref189809556"/>
      <w:r>
        <w:rPr>
          <w:rStyle w:val="IvDbodytextChar"/>
          <w:rFonts w:cs="Arial"/>
        </w:rPr>
        <w:t>[</w:t>
      </w:r>
      <w:r>
        <w:t>RP-221825</w:t>
      </w:r>
      <w:r>
        <w:rPr>
          <w:rStyle w:val="IvDbodytextChar"/>
          <w:rFonts w:cs="Arial"/>
        </w:rPr>
        <w:t>]</w:t>
      </w:r>
      <w:r w:rsidRPr="00E36C3F">
        <w:t xml:space="preserve">, </w:t>
      </w:r>
      <w:r w:rsidRPr="00990AFF">
        <w:t>Further enhancement of data collection for SON (Self-Organising Networks)/MDT (Minimization of Drive Tests) in NR standalone and MR-DC (Multi-Radio Dual Connectivity)</w:t>
      </w:r>
      <w:r w:rsidRPr="00E36C3F">
        <w:t xml:space="preserve">, </w:t>
      </w:r>
      <w:r>
        <w:t>CMCC</w:t>
      </w:r>
      <w:r w:rsidRPr="00E36C3F">
        <w:t xml:space="preserve">, </w:t>
      </w:r>
      <w:r w:rsidRPr="00133F5C">
        <w:t>3GPP TSG RAN meeting #96</w:t>
      </w:r>
      <w:r>
        <w:t xml:space="preserve">, </w:t>
      </w:r>
      <w:r w:rsidRPr="00C97282">
        <w:t>Budapest, Hungary, June 6-9, 2022</w:t>
      </w:r>
      <w:r>
        <w:t>.</w:t>
      </w:r>
      <w:bookmarkEnd w:id="23"/>
      <w:bookmarkEnd w:id="24"/>
    </w:p>
    <w:sectPr w:rsidR="00CE706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8FA81" w14:textId="77777777" w:rsidR="008717A9" w:rsidRDefault="008717A9">
      <w:r>
        <w:separator/>
      </w:r>
    </w:p>
  </w:endnote>
  <w:endnote w:type="continuationSeparator" w:id="0">
    <w:p w14:paraId="11A56699" w14:textId="77777777" w:rsidR="008717A9" w:rsidRDefault="008717A9">
      <w:r>
        <w:continuationSeparator/>
      </w:r>
    </w:p>
  </w:endnote>
  <w:endnote w:type="continuationNotice" w:id="1">
    <w:p w14:paraId="5051384C" w14:textId="77777777" w:rsidR="008717A9" w:rsidRDefault="008717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D04EF" w14:textId="77777777" w:rsidR="008717A9" w:rsidRDefault="008717A9">
      <w:r>
        <w:separator/>
      </w:r>
    </w:p>
  </w:footnote>
  <w:footnote w:type="continuationSeparator" w:id="0">
    <w:p w14:paraId="5AF71553" w14:textId="77777777" w:rsidR="008717A9" w:rsidRDefault="008717A9">
      <w:r>
        <w:continuationSeparator/>
      </w:r>
    </w:p>
  </w:footnote>
  <w:footnote w:type="continuationNotice" w:id="1">
    <w:p w14:paraId="37EF2A78" w14:textId="77777777" w:rsidR="008717A9" w:rsidRDefault="008717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32D8F"/>
    <w:multiLevelType w:val="hybridMultilevel"/>
    <w:tmpl w:val="FAD6AB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1F525A"/>
    <w:multiLevelType w:val="hybridMultilevel"/>
    <w:tmpl w:val="2070CF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B424EB"/>
    <w:multiLevelType w:val="hybridMultilevel"/>
    <w:tmpl w:val="258013CE"/>
    <w:lvl w:ilvl="0" w:tplc="FFFFFFF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AA46647"/>
    <w:multiLevelType w:val="hybridMultilevel"/>
    <w:tmpl w:val="A7E69AE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101505E"/>
    <w:multiLevelType w:val="hybridMultilevel"/>
    <w:tmpl w:val="6E92420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02481E"/>
    <w:multiLevelType w:val="hybridMultilevel"/>
    <w:tmpl w:val="FAD6AB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6B93CEF"/>
    <w:multiLevelType w:val="multilevel"/>
    <w:tmpl w:val="BF745AF4"/>
    <w:lvl w:ilvl="0">
      <w:start w:val="1"/>
      <w:numFmt w:val="decimal"/>
      <w:lvlText w:val="%1."/>
      <w:lvlJc w:val="left"/>
      <w:pPr>
        <w:ind w:left="720" w:hanging="360"/>
      </w:pPr>
      <w:rPr>
        <w:rFonts w:hint="default"/>
      </w:rPr>
    </w:lvl>
    <w:lvl w:ilvl="1">
      <w:start w:val="5"/>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77E225B"/>
    <w:multiLevelType w:val="multilevel"/>
    <w:tmpl w:val="59940518"/>
    <w:lvl w:ilvl="0">
      <w:start w:val="2"/>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C83992"/>
    <w:multiLevelType w:val="hybridMultilevel"/>
    <w:tmpl w:val="5FF4978C"/>
    <w:lvl w:ilvl="0" w:tplc="0809000F">
      <w:start w:val="1"/>
      <w:numFmt w:val="decimal"/>
      <w:lvlText w:val="%1."/>
      <w:lvlJc w:val="left"/>
      <w:pPr>
        <w:ind w:left="720" w:hanging="360"/>
      </w:pPr>
      <w:rPr>
        <w:rFonts w:hint="default"/>
      </w:rPr>
    </w:lvl>
    <w:lvl w:ilvl="1" w:tplc="FFFFFFFF" w:tentative="1">
      <w:start w:val="1"/>
      <w:numFmt w:val="bullet"/>
      <w:lvlText w:val="●"/>
      <w:lvlJc w:val="left"/>
      <w:pPr>
        <w:tabs>
          <w:tab w:val="num" w:pos="1440"/>
        </w:tabs>
        <w:ind w:left="1440" w:hanging="360"/>
      </w:pPr>
      <w:rPr>
        <w:rFonts w:ascii="Ericsson Hilda" w:hAnsi="Ericsson Hilda" w:hint="default"/>
      </w:rPr>
    </w:lvl>
    <w:lvl w:ilvl="2" w:tplc="FFFFFFFF" w:tentative="1">
      <w:start w:val="1"/>
      <w:numFmt w:val="bullet"/>
      <w:lvlText w:val="●"/>
      <w:lvlJc w:val="left"/>
      <w:pPr>
        <w:tabs>
          <w:tab w:val="num" w:pos="2160"/>
        </w:tabs>
        <w:ind w:left="2160" w:hanging="360"/>
      </w:pPr>
      <w:rPr>
        <w:rFonts w:ascii="Ericsson Hilda" w:hAnsi="Ericsson Hilda" w:hint="default"/>
      </w:rPr>
    </w:lvl>
    <w:lvl w:ilvl="3" w:tplc="FFFFFFFF" w:tentative="1">
      <w:start w:val="1"/>
      <w:numFmt w:val="bullet"/>
      <w:lvlText w:val="●"/>
      <w:lvlJc w:val="left"/>
      <w:pPr>
        <w:tabs>
          <w:tab w:val="num" w:pos="2880"/>
        </w:tabs>
        <w:ind w:left="2880" w:hanging="360"/>
      </w:pPr>
      <w:rPr>
        <w:rFonts w:ascii="Ericsson Hilda" w:hAnsi="Ericsson Hilda" w:hint="default"/>
      </w:rPr>
    </w:lvl>
    <w:lvl w:ilvl="4" w:tplc="FFFFFFFF" w:tentative="1">
      <w:start w:val="1"/>
      <w:numFmt w:val="bullet"/>
      <w:lvlText w:val="●"/>
      <w:lvlJc w:val="left"/>
      <w:pPr>
        <w:tabs>
          <w:tab w:val="num" w:pos="3600"/>
        </w:tabs>
        <w:ind w:left="3600" w:hanging="360"/>
      </w:pPr>
      <w:rPr>
        <w:rFonts w:ascii="Ericsson Hilda" w:hAnsi="Ericsson Hilda" w:hint="default"/>
      </w:rPr>
    </w:lvl>
    <w:lvl w:ilvl="5" w:tplc="FFFFFFFF" w:tentative="1">
      <w:start w:val="1"/>
      <w:numFmt w:val="bullet"/>
      <w:lvlText w:val="●"/>
      <w:lvlJc w:val="left"/>
      <w:pPr>
        <w:tabs>
          <w:tab w:val="num" w:pos="4320"/>
        </w:tabs>
        <w:ind w:left="4320" w:hanging="360"/>
      </w:pPr>
      <w:rPr>
        <w:rFonts w:ascii="Ericsson Hilda" w:hAnsi="Ericsson Hilda" w:hint="default"/>
      </w:rPr>
    </w:lvl>
    <w:lvl w:ilvl="6" w:tplc="FFFFFFFF" w:tentative="1">
      <w:start w:val="1"/>
      <w:numFmt w:val="bullet"/>
      <w:lvlText w:val="●"/>
      <w:lvlJc w:val="left"/>
      <w:pPr>
        <w:tabs>
          <w:tab w:val="num" w:pos="5040"/>
        </w:tabs>
        <w:ind w:left="5040" w:hanging="360"/>
      </w:pPr>
      <w:rPr>
        <w:rFonts w:ascii="Ericsson Hilda" w:hAnsi="Ericsson Hilda" w:hint="default"/>
      </w:rPr>
    </w:lvl>
    <w:lvl w:ilvl="7" w:tplc="FFFFFFFF" w:tentative="1">
      <w:start w:val="1"/>
      <w:numFmt w:val="bullet"/>
      <w:lvlText w:val="●"/>
      <w:lvlJc w:val="left"/>
      <w:pPr>
        <w:tabs>
          <w:tab w:val="num" w:pos="5760"/>
        </w:tabs>
        <w:ind w:left="5760" w:hanging="360"/>
      </w:pPr>
      <w:rPr>
        <w:rFonts w:ascii="Ericsson Hilda" w:hAnsi="Ericsson Hilda" w:hint="default"/>
      </w:rPr>
    </w:lvl>
    <w:lvl w:ilvl="8" w:tplc="FFFFFFFF" w:tentative="1">
      <w:start w:val="1"/>
      <w:numFmt w:val="bullet"/>
      <w:lvlText w:val="●"/>
      <w:lvlJc w:val="left"/>
      <w:pPr>
        <w:tabs>
          <w:tab w:val="num" w:pos="6480"/>
        </w:tabs>
        <w:ind w:left="6480" w:hanging="360"/>
      </w:pPr>
      <w:rPr>
        <w:rFonts w:ascii="Ericsson Hilda" w:hAnsi="Ericsson Hilda" w:hint="default"/>
      </w:rPr>
    </w:lvl>
  </w:abstractNum>
  <w:num w:numId="1" w16cid:durableId="1060713998">
    <w:abstractNumId w:val="5"/>
  </w:num>
  <w:num w:numId="2" w16cid:durableId="906646301">
    <w:abstractNumId w:val="22"/>
  </w:num>
  <w:num w:numId="3" w16cid:durableId="1044866941">
    <w:abstractNumId w:val="18"/>
  </w:num>
  <w:num w:numId="4" w16cid:durableId="1231427303">
    <w:abstractNumId w:val="19"/>
  </w:num>
  <w:num w:numId="5" w16cid:durableId="1072850479">
    <w:abstractNumId w:val="14"/>
  </w:num>
  <w:num w:numId="6" w16cid:durableId="394863115">
    <w:abstractNumId w:val="21"/>
  </w:num>
  <w:num w:numId="7" w16cid:durableId="390274823">
    <w:abstractNumId w:val="28"/>
  </w:num>
  <w:num w:numId="8" w16cid:durableId="319772151">
    <w:abstractNumId w:val="15"/>
  </w:num>
  <w:num w:numId="9" w16cid:durableId="440954205">
    <w:abstractNumId w:val="12"/>
  </w:num>
  <w:num w:numId="10" w16cid:durableId="1224482132">
    <w:abstractNumId w:val="2"/>
  </w:num>
  <w:num w:numId="11" w16cid:durableId="314141057">
    <w:abstractNumId w:val="1"/>
  </w:num>
  <w:num w:numId="12" w16cid:durableId="1678918617">
    <w:abstractNumId w:val="0"/>
  </w:num>
  <w:num w:numId="13" w16cid:durableId="1497648589">
    <w:abstractNumId w:val="24"/>
  </w:num>
  <w:num w:numId="14" w16cid:durableId="1710256290">
    <w:abstractNumId w:val="25"/>
  </w:num>
  <w:num w:numId="15" w16cid:durableId="1503163078">
    <w:abstractNumId w:val="20"/>
  </w:num>
  <w:num w:numId="16" w16cid:durableId="1310598948">
    <w:abstractNumId w:val="30"/>
  </w:num>
  <w:num w:numId="17" w16cid:durableId="1740782811">
    <w:abstractNumId w:val="8"/>
  </w:num>
  <w:num w:numId="18" w16cid:durableId="1461649906">
    <w:abstractNumId w:val="10"/>
  </w:num>
  <w:num w:numId="19" w16cid:durableId="1006636967">
    <w:abstractNumId w:val="6"/>
  </w:num>
  <w:num w:numId="20" w16cid:durableId="1415129450">
    <w:abstractNumId w:val="33"/>
  </w:num>
  <w:num w:numId="21" w16cid:durableId="302731420">
    <w:abstractNumId w:val="16"/>
  </w:num>
  <w:num w:numId="22" w16cid:durableId="1828281064">
    <w:abstractNumId w:val="32"/>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3"/>
  </w:num>
  <w:num w:numId="25" w16cid:durableId="814489860">
    <w:abstractNumId w:val="29"/>
  </w:num>
  <w:num w:numId="26" w16cid:durableId="723338061">
    <w:abstractNumId w:val="11"/>
  </w:num>
  <w:num w:numId="27" w16cid:durableId="501316963">
    <w:abstractNumId w:val="13"/>
  </w:num>
  <w:num w:numId="28" w16cid:durableId="1509977098">
    <w:abstractNumId w:val="34"/>
  </w:num>
  <w:num w:numId="29" w16cid:durableId="136842678">
    <w:abstractNumId w:val="27"/>
  </w:num>
  <w:num w:numId="30" w16cid:durableId="233320347">
    <w:abstractNumId w:val="9"/>
  </w:num>
  <w:num w:numId="31" w16cid:durableId="1674071221">
    <w:abstractNumId w:val="18"/>
  </w:num>
  <w:num w:numId="32" w16cid:durableId="1249116294">
    <w:abstractNumId w:val="24"/>
  </w:num>
  <w:num w:numId="33" w16cid:durableId="1526480073">
    <w:abstractNumId w:val="31"/>
  </w:num>
  <w:num w:numId="34" w16cid:durableId="242880413">
    <w:abstractNumId w:val="17"/>
  </w:num>
  <w:num w:numId="35" w16cid:durableId="368385502">
    <w:abstractNumId w:val="4"/>
  </w:num>
  <w:num w:numId="36" w16cid:durableId="1872567626">
    <w:abstractNumId w:val="26"/>
  </w:num>
  <w:num w:numId="37" w16cid:durableId="1073359898">
    <w:abstractNumId w:val="7"/>
  </w:num>
  <w:num w:numId="38" w16cid:durableId="208444837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nb-NO"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1F"/>
    <w:rsid w:val="000006E1"/>
    <w:rsid w:val="0000079E"/>
    <w:rsid w:val="00002A37"/>
    <w:rsid w:val="000046F2"/>
    <w:rsid w:val="00004BFF"/>
    <w:rsid w:val="0000564C"/>
    <w:rsid w:val="00006446"/>
    <w:rsid w:val="00006896"/>
    <w:rsid w:val="00007CDC"/>
    <w:rsid w:val="00011A97"/>
    <w:rsid w:val="00011B28"/>
    <w:rsid w:val="00011C4E"/>
    <w:rsid w:val="00014445"/>
    <w:rsid w:val="000148E7"/>
    <w:rsid w:val="00015D15"/>
    <w:rsid w:val="000172DE"/>
    <w:rsid w:val="00021FEC"/>
    <w:rsid w:val="0002564D"/>
    <w:rsid w:val="00025ECA"/>
    <w:rsid w:val="00030603"/>
    <w:rsid w:val="000325B8"/>
    <w:rsid w:val="00034C15"/>
    <w:rsid w:val="00036BA1"/>
    <w:rsid w:val="00036F3D"/>
    <w:rsid w:val="00041C71"/>
    <w:rsid w:val="000422E2"/>
    <w:rsid w:val="00042F22"/>
    <w:rsid w:val="000444B1"/>
    <w:rsid w:val="000444EF"/>
    <w:rsid w:val="00047118"/>
    <w:rsid w:val="000525DC"/>
    <w:rsid w:val="00052A07"/>
    <w:rsid w:val="000534E3"/>
    <w:rsid w:val="0005390E"/>
    <w:rsid w:val="0005555A"/>
    <w:rsid w:val="0005606A"/>
    <w:rsid w:val="0005685F"/>
    <w:rsid w:val="00057117"/>
    <w:rsid w:val="0006124C"/>
    <w:rsid w:val="000616E7"/>
    <w:rsid w:val="0006487E"/>
    <w:rsid w:val="00065E1A"/>
    <w:rsid w:val="00066A00"/>
    <w:rsid w:val="00077E5F"/>
    <w:rsid w:val="0008036A"/>
    <w:rsid w:val="00081AE6"/>
    <w:rsid w:val="00083DEE"/>
    <w:rsid w:val="00084DF2"/>
    <w:rsid w:val="000855EB"/>
    <w:rsid w:val="00085B52"/>
    <w:rsid w:val="000866F2"/>
    <w:rsid w:val="0009009F"/>
    <w:rsid w:val="00091557"/>
    <w:rsid w:val="000924C1"/>
    <w:rsid w:val="000924F0"/>
    <w:rsid w:val="00093474"/>
    <w:rsid w:val="000937D9"/>
    <w:rsid w:val="0009510F"/>
    <w:rsid w:val="000A1B7B"/>
    <w:rsid w:val="000A439A"/>
    <w:rsid w:val="000A56F2"/>
    <w:rsid w:val="000B18F9"/>
    <w:rsid w:val="000B1F8D"/>
    <w:rsid w:val="000B2719"/>
    <w:rsid w:val="000B2FED"/>
    <w:rsid w:val="000B3A8F"/>
    <w:rsid w:val="000B4AB9"/>
    <w:rsid w:val="000B58C3"/>
    <w:rsid w:val="000B61E9"/>
    <w:rsid w:val="000B7168"/>
    <w:rsid w:val="000C14B0"/>
    <w:rsid w:val="000C165A"/>
    <w:rsid w:val="000C2E19"/>
    <w:rsid w:val="000C73CE"/>
    <w:rsid w:val="000D0D07"/>
    <w:rsid w:val="000D4797"/>
    <w:rsid w:val="000D5EDB"/>
    <w:rsid w:val="000D684A"/>
    <w:rsid w:val="000D7392"/>
    <w:rsid w:val="000E0527"/>
    <w:rsid w:val="000E1E92"/>
    <w:rsid w:val="000E45D4"/>
    <w:rsid w:val="000E583A"/>
    <w:rsid w:val="000E69FA"/>
    <w:rsid w:val="000F06D6"/>
    <w:rsid w:val="000F0EB1"/>
    <w:rsid w:val="000F1106"/>
    <w:rsid w:val="000F12A5"/>
    <w:rsid w:val="000F2016"/>
    <w:rsid w:val="000F3BE9"/>
    <w:rsid w:val="000F3F6C"/>
    <w:rsid w:val="000F40FA"/>
    <w:rsid w:val="000F6DF3"/>
    <w:rsid w:val="001005FF"/>
    <w:rsid w:val="001062FB"/>
    <w:rsid w:val="001063E6"/>
    <w:rsid w:val="00106BAE"/>
    <w:rsid w:val="00113CF4"/>
    <w:rsid w:val="001153EA"/>
    <w:rsid w:val="00115643"/>
    <w:rsid w:val="00116765"/>
    <w:rsid w:val="0011700D"/>
    <w:rsid w:val="001219F5"/>
    <w:rsid w:val="00121A20"/>
    <w:rsid w:val="0012377F"/>
    <w:rsid w:val="00124314"/>
    <w:rsid w:val="00126541"/>
    <w:rsid w:val="00126B4A"/>
    <w:rsid w:val="001314B5"/>
    <w:rsid w:val="00132FD0"/>
    <w:rsid w:val="00133137"/>
    <w:rsid w:val="001344C0"/>
    <w:rsid w:val="001346FA"/>
    <w:rsid w:val="00135252"/>
    <w:rsid w:val="00137AB5"/>
    <w:rsid w:val="00137F0B"/>
    <w:rsid w:val="00143E63"/>
    <w:rsid w:val="00150D3B"/>
    <w:rsid w:val="00150DE0"/>
    <w:rsid w:val="00151E23"/>
    <w:rsid w:val="001526E0"/>
    <w:rsid w:val="0015281E"/>
    <w:rsid w:val="00153898"/>
    <w:rsid w:val="001551B5"/>
    <w:rsid w:val="001608D3"/>
    <w:rsid w:val="001659C1"/>
    <w:rsid w:val="00173A8E"/>
    <w:rsid w:val="0017502C"/>
    <w:rsid w:val="00175F13"/>
    <w:rsid w:val="0018143F"/>
    <w:rsid w:val="00181FF8"/>
    <w:rsid w:val="001864B7"/>
    <w:rsid w:val="00190AC1"/>
    <w:rsid w:val="00191341"/>
    <w:rsid w:val="00192753"/>
    <w:rsid w:val="0019341A"/>
    <w:rsid w:val="00197DF9"/>
    <w:rsid w:val="001A1987"/>
    <w:rsid w:val="001A2371"/>
    <w:rsid w:val="001A2564"/>
    <w:rsid w:val="001A6173"/>
    <w:rsid w:val="001A6CBA"/>
    <w:rsid w:val="001B0CB8"/>
    <w:rsid w:val="001B0D97"/>
    <w:rsid w:val="001B5179"/>
    <w:rsid w:val="001B5A5D"/>
    <w:rsid w:val="001B7512"/>
    <w:rsid w:val="001C032F"/>
    <w:rsid w:val="001C1CE5"/>
    <w:rsid w:val="001C3D2A"/>
    <w:rsid w:val="001C5CB8"/>
    <w:rsid w:val="001C7689"/>
    <w:rsid w:val="001D163C"/>
    <w:rsid w:val="001D1E4A"/>
    <w:rsid w:val="001D44D4"/>
    <w:rsid w:val="001D51BA"/>
    <w:rsid w:val="001D53E7"/>
    <w:rsid w:val="001D6076"/>
    <w:rsid w:val="001D6342"/>
    <w:rsid w:val="001D6D53"/>
    <w:rsid w:val="001E3E2E"/>
    <w:rsid w:val="001E40ED"/>
    <w:rsid w:val="001E58E2"/>
    <w:rsid w:val="001E7AED"/>
    <w:rsid w:val="001F0682"/>
    <w:rsid w:val="001F1AB9"/>
    <w:rsid w:val="001F22C4"/>
    <w:rsid w:val="001F3916"/>
    <w:rsid w:val="001F3F1E"/>
    <w:rsid w:val="001F54A2"/>
    <w:rsid w:val="001F54C5"/>
    <w:rsid w:val="001F5C9B"/>
    <w:rsid w:val="001F5F86"/>
    <w:rsid w:val="001F662C"/>
    <w:rsid w:val="001F7074"/>
    <w:rsid w:val="00200490"/>
    <w:rsid w:val="00200A53"/>
    <w:rsid w:val="00201081"/>
    <w:rsid w:val="00201F3A"/>
    <w:rsid w:val="00203F96"/>
    <w:rsid w:val="002062B2"/>
    <w:rsid w:val="002069B2"/>
    <w:rsid w:val="00207C32"/>
    <w:rsid w:val="00207FA3"/>
    <w:rsid w:val="002137C7"/>
    <w:rsid w:val="00214DA8"/>
    <w:rsid w:val="00215423"/>
    <w:rsid w:val="002158FA"/>
    <w:rsid w:val="00216752"/>
    <w:rsid w:val="00220600"/>
    <w:rsid w:val="002206A5"/>
    <w:rsid w:val="00220F43"/>
    <w:rsid w:val="002218AB"/>
    <w:rsid w:val="002224DB"/>
    <w:rsid w:val="00223FCB"/>
    <w:rsid w:val="00224EA5"/>
    <w:rsid w:val="002252C3"/>
    <w:rsid w:val="00225C54"/>
    <w:rsid w:val="00230765"/>
    <w:rsid w:val="00230D18"/>
    <w:rsid w:val="002319E4"/>
    <w:rsid w:val="002336C3"/>
    <w:rsid w:val="00235632"/>
    <w:rsid w:val="00235872"/>
    <w:rsid w:val="00241559"/>
    <w:rsid w:val="002435B3"/>
    <w:rsid w:val="002458EB"/>
    <w:rsid w:val="002500C8"/>
    <w:rsid w:val="0025048B"/>
    <w:rsid w:val="00252074"/>
    <w:rsid w:val="0025227E"/>
    <w:rsid w:val="0025707D"/>
    <w:rsid w:val="00257543"/>
    <w:rsid w:val="00261377"/>
    <w:rsid w:val="002617E7"/>
    <w:rsid w:val="00264228"/>
    <w:rsid w:val="00264334"/>
    <w:rsid w:val="0026473E"/>
    <w:rsid w:val="00265500"/>
    <w:rsid w:val="00266214"/>
    <w:rsid w:val="00267C83"/>
    <w:rsid w:val="0027144F"/>
    <w:rsid w:val="00271813"/>
    <w:rsid w:val="00271F3A"/>
    <w:rsid w:val="00272D0F"/>
    <w:rsid w:val="00273278"/>
    <w:rsid w:val="002737F4"/>
    <w:rsid w:val="002805F5"/>
    <w:rsid w:val="00280751"/>
    <w:rsid w:val="00280D85"/>
    <w:rsid w:val="0028280A"/>
    <w:rsid w:val="00286ACD"/>
    <w:rsid w:val="00286D21"/>
    <w:rsid w:val="00287838"/>
    <w:rsid w:val="002907B5"/>
    <w:rsid w:val="00292EB7"/>
    <w:rsid w:val="002959F8"/>
    <w:rsid w:val="00296227"/>
    <w:rsid w:val="00296F44"/>
    <w:rsid w:val="0029777D"/>
    <w:rsid w:val="002A055E"/>
    <w:rsid w:val="002A1D4E"/>
    <w:rsid w:val="002A2869"/>
    <w:rsid w:val="002A7CF4"/>
    <w:rsid w:val="002B172C"/>
    <w:rsid w:val="002B20CD"/>
    <w:rsid w:val="002B24D6"/>
    <w:rsid w:val="002B3EA1"/>
    <w:rsid w:val="002C29F6"/>
    <w:rsid w:val="002C41E6"/>
    <w:rsid w:val="002D071A"/>
    <w:rsid w:val="002D134B"/>
    <w:rsid w:val="002D34B2"/>
    <w:rsid w:val="002D48B0"/>
    <w:rsid w:val="002D5B37"/>
    <w:rsid w:val="002D7637"/>
    <w:rsid w:val="002E17F2"/>
    <w:rsid w:val="002E7CAE"/>
    <w:rsid w:val="002F2771"/>
    <w:rsid w:val="002F37A9"/>
    <w:rsid w:val="002F42A9"/>
    <w:rsid w:val="00301CE6"/>
    <w:rsid w:val="0030256B"/>
    <w:rsid w:val="00302B78"/>
    <w:rsid w:val="003033D3"/>
    <w:rsid w:val="0030501F"/>
    <w:rsid w:val="00307BA1"/>
    <w:rsid w:val="00311702"/>
    <w:rsid w:val="00311E82"/>
    <w:rsid w:val="00313FD6"/>
    <w:rsid w:val="003143BD"/>
    <w:rsid w:val="00315363"/>
    <w:rsid w:val="00316A04"/>
    <w:rsid w:val="003203ED"/>
    <w:rsid w:val="0032080A"/>
    <w:rsid w:val="003212CC"/>
    <w:rsid w:val="00322C9F"/>
    <w:rsid w:val="00324877"/>
    <w:rsid w:val="00324D23"/>
    <w:rsid w:val="00325CD4"/>
    <w:rsid w:val="003267B7"/>
    <w:rsid w:val="00331751"/>
    <w:rsid w:val="00334579"/>
    <w:rsid w:val="00335858"/>
    <w:rsid w:val="00335B37"/>
    <w:rsid w:val="00336BDA"/>
    <w:rsid w:val="00342BD7"/>
    <w:rsid w:val="00346C31"/>
    <w:rsid w:val="00346DB5"/>
    <w:rsid w:val="003470F5"/>
    <w:rsid w:val="003477B1"/>
    <w:rsid w:val="003526AB"/>
    <w:rsid w:val="00355E39"/>
    <w:rsid w:val="00357380"/>
    <w:rsid w:val="003602D9"/>
    <w:rsid w:val="003604CE"/>
    <w:rsid w:val="0036098E"/>
    <w:rsid w:val="00361EDF"/>
    <w:rsid w:val="003620D5"/>
    <w:rsid w:val="0036278D"/>
    <w:rsid w:val="00367536"/>
    <w:rsid w:val="00370E47"/>
    <w:rsid w:val="003742AC"/>
    <w:rsid w:val="00374938"/>
    <w:rsid w:val="00377CE1"/>
    <w:rsid w:val="00385BF0"/>
    <w:rsid w:val="00391778"/>
    <w:rsid w:val="003939FF"/>
    <w:rsid w:val="00394A6E"/>
    <w:rsid w:val="0039630F"/>
    <w:rsid w:val="003A0DD8"/>
    <w:rsid w:val="003A2223"/>
    <w:rsid w:val="003A2A0F"/>
    <w:rsid w:val="003A3320"/>
    <w:rsid w:val="003A45A1"/>
    <w:rsid w:val="003A5B0A"/>
    <w:rsid w:val="003A6BAC"/>
    <w:rsid w:val="003A70A4"/>
    <w:rsid w:val="003A7EF3"/>
    <w:rsid w:val="003B0696"/>
    <w:rsid w:val="003B159C"/>
    <w:rsid w:val="003B369F"/>
    <w:rsid w:val="003B36A3"/>
    <w:rsid w:val="003B49DD"/>
    <w:rsid w:val="003B64BB"/>
    <w:rsid w:val="003B7FE5"/>
    <w:rsid w:val="003C11C8"/>
    <w:rsid w:val="003C2702"/>
    <w:rsid w:val="003C7806"/>
    <w:rsid w:val="003C7E0E"/>
    <w:rsid w:val="003D109F"/>
    <w:rsid w:val="003D2478"/>
    <w:rsid w:val="003D3C45"/>
    <w:rsid w:val="003D5160"/>
    <w:rsid w:val="003D5B1F"/>
    <w:rsid w:val="003D76C1"/>
    <w:rsid w:val="003E0B5C"/>
    <w:rsid w:val="003E15FA"/>
    <w:rsid w:val="003E55E4"/>
    <w:rsid w:val="003E5BE8"/>
    <w:rsid w:val="003E74E3"/>
    <w:rsid w:val="003E79B6"/>
    <w:rsid w:val="003F05C7"/>
    <w:rsid w:val="003F29E6"/>
    <w:rsid w:val="003F2CD4"/>
    <w:rsid w:val="003F5609"/>
    <w:rsid w:val="003F571C"/>
    <w:rsid w:val="003F6BBE"/>
    <w:rsid w:val="004000E8"/>
    <w:rsid w:val="00402E2B"/>
    <w:rsid w:val="0040512B"/>
    <w:rsid w:val="00405CA5"/>
    <w:rsid w:val="00407CD3"/>
    <w:rsid w:val="00410134"/>
    <w:rsid w:val="004109B0"/>
    <w:rsid w:val="00410B72"/>
    <w:rsid w:val="00410F18"/>
    <w:rsid w:val="0041263E"/>
    <w:rsid w:val="00413AAC"/>
    <w:rsid w:val="00413E92"/>
    <w:rsid w:val="00416081"/>
    <w:rsid w:val="00421105"/>
    <w:rsid w:val="004226C1"/>
    <w:rsid w:val="00422AA4"/>
    <w:rsid w:val="004242F4"/>
    <w:rsid w:val="00427248"/>
    <w:rsid w:val="004312ED"/>
    <w:rsid w:val="00437447"/>
    <w:rsid w:val="00441A92"/>
    <w:rsid w:val="00441D70"/>
    <w:rsid w:val="004431DC"/>
    <w:rsid w:val="00444F56"/>
    <w:rsid w:val="004453C9"/>
    <w:rsid w:val="00445B26"/>
    <w:rsid w:val="00446488"/>
    <w:rsid w:val="004517AA"/>
    <w:rsid w:val="00451B7A"/>
    <w:rsid w:val="00452CAC"/>
    <w:rsid w:val="00454C31"/>
    <w:rsid w:val="00457565"/>
    <w:rsid w:val="00457B71"/>
    <w:rsid w:val="00457C50"/>
    <w:rsid w:val="00464D11"/>
    <w:rsid w:val="00465DD8"/>
    <w:rsid w:val="004669E2"/>
    <w:rsid w:val="00467B5F"/>
    <w:rsid w:val="00470C31"/>
    <w:rsid w:val="00471DE0"/>
    <w:rsid w:val="004734D0"/>
    <w:rsid w:val="0047556B"/>
    <w:rsid w:val="00477768"/>
    <w:rsid w:val="004824A7"/>
    <w:rsid w:val="00482D1A"/>
    <w:rsid w:val="0049128A"/>
    <w:rsid w:val="00492BC5"/>
    <w:rsid w:val="00493BC6"/>
    <w:rsid w:val="0049450C"/>
    <w:rsid w:val="004964F1"/>
    <w:rsid w:val="004A16BC"/>
    <w:rsid w:val="004A18D5"/>
    <w:rsid w:val="004A2B94"/>
    <w:rsid w:val="004A632D"/>
    <w:rsid w:val="004B6F6A"/>
    <w:rsid w:val="004B7C0C"/>
    <w:rsid w:val="004C3898"/>
    <w:rsid w:val="004C7C3F"/>
    <w:rsid w:val="004D36B1"/>
    <w:rsid w:val="004D7EBD"/>
    <w:rsid w:val="004E2680"/>
    <w:rsid w:val="004E28F9"/>
    <w:rsid w:val="004E3838"/>
    <w:rsid w:val="004E462E"/>
    <w:rsid w:val="004E50E7"/>
    <w:rsid w:val="004E56DC"/>
    <w:rsid w:val="004E76F4"/>
    <w:rsid w:val="004F0B4E"/>
    <w:rsid w:val="004F0B6C"/>
    <w:rsid w:val="004F2078"/>
    <w:rsid w:val="004F4DA3"/>
    <w:rsid w:val="004F5615"/>
    <w:rsid w:val="0050155C"/>
    <w:rsid w:val="00506557"/>
    <w:rsid w:val="0050677A"/>
    <w:rsid w:val="005108D8"/>
    <w:rsid w:val="00510C06"/>
    <w:rsid w:val="005116F9"/>
    <w:rsid w:val="005153A7"/>
    <w:rsid w:val="005219CF"/>
    <w:rsid w:val="00524625"/>
    <w:rsid w:val="00524A62"/>
    <w:rsid w:val="00524BBC"/>
    <w:rsid w:val="00525C78"/>
    <w:rsid w:val="005305FA"/>
    <w:rsid w:val="005323A9"/>
    <w:rsid w:val="00534B59"/>
    <w:rsid w:val="00536759"/>
    <w:rsid w:val="0053707E"/>
    <w:rsid w:val="00537C62"/>
    <w:rsid w:val="0054192F"/>
    <w:rsid w:val="00546970"/>
    <w:rsid w:val="00552759"/>
    <w:rsid w:val="005534A6"/>
    <w:rsid w:val="00554E19"/>
    <w:rsid w:val="0056121F"/>
    <w:rsid w:val="00572505"/>
    <w:rsid w:val="00572F8E"/>
    <w:rsid w:val="00582809"/>
    <w:rsid w:val="005859F0"/>
    <w:rsid w:val="0058798C"/>
    <w:rsid w:val="005900FA"/>
    <w:rsid w:val="00593523"/>
    <w:rsid w:val="005935A4"/>
    <w:rsid w:val="00593728"/>
    <w:rsid w:val="005948C2"/>
    <w:rsid w:val="00595DCA"/>
    <w:rsid w:val="0059779B"/>
    <w:rsid w:val="005A03D8"/>
    <w:rsid w:val="005A209A"/>
    <w:rsid w:val="005A3E2F"/>
    <w:rsid w:val="005A662D"/>
    <w:rsid w:val="005A70FB"/>
    <w:rsid w:val="005B1409"/>
    <w:rsid w:val="005B35D7"/>
    <w:rsid w:val="005B392A"/>
    <w:rsid w:val="005B3AA3"/>
    <w:rsid w:val="005B5861"/>
    <w:rsid w:val="005B65A8"/>
    <w:rsid w:val="005B6F83"/>
    <w:rsid w:val="005C4011"/>
    <w:rsid w:val="005C5C16"/>
    <w:rsid w:val="005C5D49"/>
    <w:rsid w:val="005C74FB"/>
    <w:rsid w:val="005C7545"/>
    <w:rsid w:val="005D1602"/>
    <w:rsid w:val="005D6A74"/>
    <w:rsid w:val="005E385F"/>
    <w:rsid w:val="005E5B81"/>
    <w:rsid w:val="005E7B77"/>
    <w:rsid w:val="005F1391"/>
    <w:rsid w:val="005F2CB1"/>
    <w:rsid w:val="005F3025"/>
    <w:rsid w:val="005F3663"/>
    <w:rsid w:val="005F5F19"/>
    <w:rsid w:val="005F618C"/>
    <w:rsid w:val="005F70BD"/>
    <w:rsid w:val="005F7804"/>
    <w:rsid w:val="00601ECB"/>
    <w:rsid w:val="0060283C"/>
    <w:rsid w:val="0060377F"/>
    <w:rsid w:val="006039E1"/>
    <w:rsid w:val="00604F14"/>
    <w:rsid w:val="00611B83"/>
    <w:rsid w:val="00613257"/>
    <w:rsid w:val="0061652B"/>
    <w:rsid w:val="00620A71"/>
    <w:rsid w:val="00620D80"/>
    <w:rsid w:val="006234A6"/>
    <w:rsid w:val="0062416D"/>
    <w:rsid w:val="00630001"/>
    <w:rsid w:val="006311B3"/>
    <w:rsid w:val="006312CC"/>
    <w:rsid w:val="006312DF"/>
    <w:rsid w:val="0063284C"/>
    <w:rsid w:val="00636398"/>
    <w:rsid w:val="00636615"/>
    <w:rsid w:val="006368D3"/>
    <w:rsid w:val="006377EC"/>
    <w:rsid w:val="0064151F"/>
    <w:rsid w:val="00641533"/>
    <w:rsid w:val="006415E6"/>
    <w:rsid w:val="0064208D"/>
    <w:rsid w:val="00643206"/>
    <w:rsid w:val="00643475"/>
    <w:rsid w:val="0064396A"/>
    <w:rsid w:val="00645384"/>
    <w:rsid w:val="0064624E"/>
    <w:rsid w:val="00650AB9"/>
    <w:rsid w:val="00654489"/>
    <w:rsid w:val="00655733"/>
    <w:rsid w:val="00655ACD"/>
    <w:rsid w:val="00656A92"/>
    <w:rsid w:val="00656DDE"/>
    <w:rsid w:val="0065789B"/>
    <w:rsid w:val="0066011D"/>
    <w:rsid w:val="006607C0"/>
    <w:rsid w:val="006613A6"/>
    <w:rsid w:val="00661744"/>
    <w:rsid w:val="006627A2"/>
    <w:rsid w:val="006634E6"/>
    <w:rsid w:val="006655EE"/>
    <w:rsid w:val="00667EE7"/>
    <w:rsid w:val="00667FC1"/>
    <w:rsid w:val="00670922"/>
    <w:rsid w:val="00670BE1"/>
    <w:rsid w:val="0067218F"/>
    <w:rsid w:val="00672459"/>
    <w:rsid w:val="006741F2"/>
    <w:rsid w:val="00674CC3"/>
    <w:rsid w:val="0067567C"/>
    <w:rsid w:val="00675C72"/>
    <w:rsid w:val="00675D21"/>
    <w:rsid w:val="00676D72"/>
    <w:rsid w:val="006771F9"/>
    <w:rsid w:val="006776D7"/>
    <w:rsid w:val="00680D39"/>
    <w:rsid w:val="00681003"/>
    <w:rsid w:val="006817C9"/>
    <w:rsid w:val="00683354"/>
    <w:rsid w:val="00683ECE"/>
    <w:rsid w:val="006858A0"/>
    <w:rsid w:val="00695FC2"/>
    <w:rsid w:val="006961CC"/>
    <w:rsid w:val="00696949"/>
    <w:rsid w:val="00697052"/>
    <w:rsid w:val="00697670"/>
    <w:rsid w:val="00697DFF"/>
    <w:rsid w:val="006A158D"/>
    <w:rsid w:val="006A3B3C"/>
    <w:rsid w:val="006A46FB"/>
    <w:rsid w:val="006A5E28"/>
    <w:rsid w:val="006A697B"/>
    <w:rsid w:val="006A720B"/>
    <w:rsid w:val="006A7AFF"/>
    <w:rsid w:val="006A7B30"/>
    <w:rsid w:val="006B1816"/>
    <w:rsid w:val="006B2099"/>
    <w:rsid w:val="006B4345"/>
    <w:rsid w:val="006B50CF"/>
    <w:rsid w:val="006B5500"/>
    <w:rsid w:val="006B599C"/>
    <w:rsid w:val="006C03B8"/>
    <w:rsid w:val="006C5EC9"/>
    <w:rsid w:val="006C6059"/>
    <w:rsid w:val="006C7522"/>
    <w:rsid w:val="006D0784"/>
    <w:rsid w:val="006D6F08"/>
    <w:rsid w:val="006E062C"/>
    <w:rsid w:val="006E1C82"/>
    <w:rsid w:val="006E28B7"/>
    <w:rsid w:val="006E2A9B"/>
    <w:rsid w:val="006E2C60"/>
    <w:rsid w:val="006E3310"/>
    <w:rsid w:val="006E4E39"/>
    <w:rsid w:val="006E565E"/>
    <w:rsid w:val="006E603A"/>
    <w:rsid w:val="006E673D"/>
    <w:rsid w:val="006E7D3B"/>
    <w:rsid w:val="006F1071"/>
    <w:rsid w:val="006F1B70"/>
    <w:rsid w:val="006F2308"/>
    <w:rsid w:val="006F341D"/>
    <w:rsid w:val="006F3CDE"/>
    <w:rsid w:val="006F58D4"/>
    <w:rsid w:val="006F5C3E"/>
    <w:rsid w:val="006F6582"/>
    <w:rsid w:val="006F6AF8"/>
    <w:rsid w:val="006F7A91"/>
    <w:rsid w:val="0070086D"/>
    <w:rsid w:val="0070240F"/>
    <w:rsid w:val="007026C8"/>
    <w:rsid w:val="0070346E"/>
    <w:rsid w:val="00703F8E"/>
    <w:rsid w:val="00704EDB"/>
    <w:rsid w:val="00706101"/>
    <w:rsid w:val="00707072"/>
    <w:rsid w:val="00707D5A"/>
    <w:rsid w:val="00707D61"/>
    <w:rsid w:val="00710FCF"/>
    <w:rsid w:val="00712287"/>
    <w:rsid w:val="00712772"/>
    <w:rsid w:val="007148D3"/>
    <w:rsid w:val="00715B9A"/>
    <w:rsid w:val="007257D0"/>
    <w:rsid w:val="00726EA6"/>
    <w:rsid w:val="00727208"/>
    <w:rsid w:val="00727680"/>
    <w:rsid w:val="007348B1"/>
    <w:rsid w:val="00735CB3"/>
    <w:rsid w:val="007362A6"/>
    <w:rsid w:val="00736D7D"/>
    <w:rsid w:val="007379C1"/>
    <w:rsid w:val="00740E58"/>
    <w:rsid w:val="00741D27"/>
    <w:rsid w:val="007441E2"/>
    <w:rsid w:val="007445A0"/>
    <w:rsid w:val="0074524B"/>
    <w:rsid w:val="00746EDE"/>
    <w:rsid w:val="00747D8B"/>
    <w:rsid w:val="007503AE"/>
    <w:rsid w:val="00751228"/>
    <w:rsid w:val="00752956"/>
    <w:rsid w:val="007571E1"/>
    <w:rsid w:val="00757A16"/>
    <w:rsid w:val="007604B2"/>
    <w:rsid w:val="00762AD1"/>
    <w:rsid w:val="00765281"/>
    <w:rsid w:val="00766BAD"/>
    <w:rsid w:val="0077076D"/>
    <w:rsid w:val="007729A2"/>
    <w:rsid w:val="00774242"/>
    <w:rsid w:val="007755F2"/>
    <w:rsid w:val="00776971"/>
    <w:rsid w:val="00780454"/>
    <w:rsid w:val="00780A80"/>
    <w:rsid w:val="0078177E"/>
    <w:rsid w:val="00782C9B"/>
    <w:rsid w:val="0078304C"/>
    <w:rsid w:val="00783673"/>
    <w:rsid w:val="00784F0F"/>
    <w:rsid w:val="00785490"/>
    <w:rsid w:val="00786F7A"/>
    <w:rsid w:val="00790C14"/>
    <w:rsid w:val="007925EA"/>
    <w:rsid w:val="00793CD8"/>
    <w:rsid w:val="00795C92"/>
    <w:rsid w:val="00796231"/>
    <w:rsid w:val="007A1CB3"/>
    <w:rsid w:val="007A2DF1"/>
    <w:rsid w:val="007A306F"/>
    <w:rsid w:val="007A43A6"/>
    <w:rsid w:val="007A503E"/>
    <w:rsid w:val="007A58A6"/>
    <w:rsid w:val="007B3D2D"/>
    <w:rsid w:val="007B50AE"/>
    <w:rsid w:val="007B51DF"/>
    <w:rsid w:val="007B6A28"/>
    <w:rsid w:val="007C05DD"/>
    <w:rsid w:val="007C2D09"/>
    <w:rsid w:val="007C3D18"/>
    <w:rsid w:val="007C60BF"/>
    <w:rsid w:val="007C6A07"/>
    <w:rsid w:val="007C75A1"/>
    <w:rsid w:val="007C77A5"/>
    <w:rsid w:val="007D04E5"/>
    <w:rsid w:val="007D4360"/>
    <w:rsid w:val="007D5901"/>
    <w:rsid w:val="007D7526"/>
    <w:rsid w:val="007E1067"/>
    <w:rsid w:val="007E3688"/>
    <w:rsid w:val="007E4610"/>
    <w:rsid w:val="007E4715"/>
    <w:rsid w:val="007E505B"/>
    <w:rsid w:val="007E7091"/>
    <w:rsid w:val="00802132"/>
    <w:rsid w:val="00802D99"/>
    <w:rsid w:val="00803FAE"/>
    <w:rsid w:val="0080605F"/>
    <w:rsid w:val="00806947"/>
    <w:rsid w:val="00807786"/>
    <w:rsid w:val="00811FCB"/>
    <w:rsid w:val="00812BC4"/>
    <w:rsid w:val="00814DFD"/>
    <w:rsid w:val="008158D6"/>
    <w:rsid w:val="00817196"/>
    <w:rsid w:val="008219C3"/>
    <w:rsid w:val="00822295"/>
    <w:rsid w:val="008223C1"/>
    <w:rsid w:val="008235DB"/>
    <w:rsid w:val="00824AB4"/>
    <w:rsid w:val="008253A1"/>
    <w:rsid w:val="00825C42"/>
    <w:rsid w:val="00825D25"/>
    <w:rsid w:val="008267BA"/>
    <w:rsid w:val="00827D6F"/>
    <w:rsid w:val="00830CAC"/>
    <w:rsid w:val="0083435D"/>
    <w:rsid w:val="00835190"/>
    <w:rsid w:val="008376AC"/>
    <w:rsid w:val="00840AEE"/>
    <w:rsid w:val="008444E8"/>
    <w:rsid w:val="00844E80"/>
    <w:rsid w:val="00846FE7"/>
    <w:rsid w:val="0085230E"/>
    <w:rsid w:val="0085242D"/>
    <w:rsid w:val="00854893"/>
    <w:rsid w:val="008564FD"/>
    <w:rsid w:val="00856911"/>
    <w:rsid w:val="00861B5F"/>
    <w:rsid w:val="008621A9"/>
    <w:rsid w:val="00862A33"/>
    <w:rsid w:val="00863E59"/>
    <w:rsid w:val="008642E4"/>
    <w:rsid w:val="00864F66"/>
    <w:rsid w:val="008651C9"/>
    <w:rsid w:val="008669D7"/>
    <w:rsid w:val="008677FD"/>
    <w:rsid w:val="0087040F"/>
    <w:rsid w:val="008706D4"/>
    <w:rsid w:val="00870F8A"/>
    <w:rsid w:val="008713CD"/>
    <w:rsid w:val="008717A9"/>
    <w:rsid w:val="008719A4"/>
    <w:rsid w:val="00871D23"/>
    <w:rsid w:val="00872C19"/>
    <w:rsid w:val="00874312"/>
    <w:rsid w:val="0087437C"/>
    <w:rsid w:val="00875C29"/>
    <w:rsid w:val="00875CD7"/>
    <w:rsid w:val="00876B4D"/>
    <w:rsid w:val="00877F18"/>
    <w:rsid w:val="00883988"/>
    <w:rsid w:val="0088597E"/>
    <w:rsid w:val="008941E3"/>
    <w:rsid w:val="00894A88"/>
    <w:rsid w:val="00894DDA"/>
    <w:rsid w:val="00895386"/>
    <w:rsid w:val="008A16A4"/>
    <w:rsid w:val="008A21FF"/>
    <w:rsid w:val="008A2436"/>
    <w:rsid w:val="008A2CE2"/>
    <w:rsid w:val="008A30AC"/>
    <w:rsid w:val="008A44B8"/>
    <w:rsid w:val="008A51A8"/>
    <w:rsid w:val="008A54C7"/>
    <w:rsid w:val="008A6825"/>
    <w:rsid w:val="008A6A68"/>
    <w:rsid w:val="008A77D8"/>
    <w:rsid w:val="008B0483"/>
    <w:rsid w:val="008B1027"/>
    <w:rsid w:val="008B120C"/>
    <w:rsid w:val="008B51A0"/>
    <w:rsid w:val="008B592A"/>
    <w:rsid w:val="008B7B5C"/>
    <w:rsid w:val="008C013A"/>
    <w:rsid w:val="008C0C99"/>
    <w:rsid w:val="008C2017"/>
    <w:rsid w:val="008C2C7C"/>
    <w:rsid w:val="008C4958"/>
    <w:rsid w:val="008C4BAA"/>
    <w:rsid w:val="008C6AE8"/>
    <w:rsid w:val="008C7573"/>
    <w:rsid w:val="008D00A5"/>
    <w:rsid w:val="008D309D"/>
    <w:rsid w:val="008D34F1"/>
    <w:rsid w:val="008D39D8"/>
    <w:rsid w:val="008D6D1A"/>
    <w:rsid w:val="008E065E"/>
    <w:rsid w:val="008E0927"/>
    <w:rsid w:val="008E1909"/>
    <w:rsid w:val="008E2268"/>
    <w:rsid w:val="008E51A4"/>
    <w:rsid w:val="008E74B8"/>
    <w:rsid w:val="008F1EAB"/>
    <w:rsid w:val="008F33DC"/>
    <w:rsid w:val="008F477F"/>
    <w:rsid w:val="00902350"/>
    <w:rsid w:val="0090336B"/>
    <w:rsid w:val="009053AA"/>
    <w:rsid w:val="00905832"/>
    <w:rsid w:val="00906939"/>
    <w:rsid w:val="00910B7D"/>
    <w:rsid w:val="00910C07"/>
    <w:rsid w:val="00911DFB"/>
    <w:rsid w:val="009135B2"/>
    <w:rsid w:val="009139D9"/>
    <w:rsid w:val="00914AD8"/>
    <w:rsid w:val="009155F7"/>
    <w:rsid w:val="00916079"/>
    <w:rsid w:val="0091646A"/>
    <w:rsid w:val="00917CE9"/>
    <w:rsid w:val="00920BF2"/>
    <w:rsid w:val="00921E34"/>
    <w:rsid w:val="00922010"/>
    <w:rsid w:val="00924C04"/>
    <w:rsid w:val="00925389"/>
    <w:rsid w:val="009260C3"/>
    <w:rsid w:val="00931BD9"/>
    <w:rsid w:val="00931D0D"/>
    <w:rsid w:val="0093327F"/>
    <w:rsid w:val="00934A68"/>
    <w:rsid w:val="009368F3"/>
    <w:rsid w:val="00937B32"/>
    <w:rsid w:val="00941636"/>
    <w:rsid w:val="00943742"/>
    <w:rsid w:val="00943D83"/>
    <w:rsid w:val="009441A4"/>
    <w:rsid w:val="00945C05"/>
    <w:rsid w:val="00946945"/>
    <w:rsid w:val="00947713"/>
    <w:rsid w:val="00950DE7"/>
    <w:rsid w:val="00953920"/>
    <w:rsid w:val="00953D47"/>
    <w:rsid w:val="009544C2"/>
    <w:rsid w:val="0095681E"/>
    <w:rsid w:val="009572D4"/>
    <w:rsid w:val="00961921"/>
    <w:rsid w:val="0096430A"/>
    <w:rsid w:val="0096554B"/>
    <w:rsid w:val="0096584A"/>
    <w:rsid w:val="00966397"/>
    <w:rsid w:val="0097014A"/>
    <w:rsid w:val="00971F08"/>
    <w:rsid w:val="0097603D"/>
    <w:rsid w:val="00976949"/>
    <w:rsid w:val="00980477"/>
    <w:rsid w:val="00985253"/>
    <w:rsid w:val="009853B3"/>
    <w:rsid w:val="00985A00"/>
    <w:rsid w:val="00990630"/>
    <w:rsid w:val="00991761"/>
    <w:rsid w:val="00991AE2"/>
    <w:rsid w:val="0099209D"/>
    <w:rsid w:val="0099417E"/>
    <w:rsid w:val="00994DCA"/>
    <w:rsid w:val="009960EC"/>
    <w:rsid w:val="009970DD"/>
    <w:rsid w:val="0099782F"/>
    <w:rsid w:val="00997F18"/>
    <w:rsid w:val="009A0FBA"/>
    <w:rsid w:val="009A10C4"/>
    <w:rsid w:val="009A1601"/>
    <w:rsid w:val="009A363A"/>
    <w:rsid w:val="009A3BB6"/>
    <w:rsid w:val="009A462D"/>
    <w:rsid w:val="009A5CBA"/>
    <w:rsid w:val="009A5E1E"/>
    <w:rsid w:val="009B07CD"/>
    <w:rsid w:val="009B1F30"/>
    <w:rsid w:val="009B3AC2"/>
    <w:rsid w:val="009B4DF4"/>
    <w:rsid w:val="009B564E"/>
    <w:rsid w:val="009B7E87"/>
    <w:rsid w:val="009C0169"/>
    <w:rsid w:val="009C31BB"/>
    <w:rsid w:val="009C37BF"/>
    <w:rsid w:val="009C403E"/>
    <w:rsid w:val="009C5485"/>
    <w:rsid w:val="009D4FF0"/>
    <w:rsid w:val="009D648B"/>
    <w:rsid w:val="009D703C"/>
    <w:rsid w:val="009D718F"/>
    <w:rsid w:val="009E068F"/>
    <w:rsid w:val="009E14E0"/>
    <w:rsid w:val="009E35DB"/>
    <w:rsid w:val="009E47A3"/>
    <w:rsid w:val="009E4F24"/>
    <w:rsid w:val="009F01E9"/>
    <w:rsid w:val="009F08F3"/>
    <w:rsid w:val="009F2408"/>
    <w:rsid w:val="009F344F"/>
    <w:rsid w:val="009F3CD8"/>
    <w:rsid w:val="00A03143"/>
    <w:rsid w:val="00A031D8"/>
    <w:rsid w:val="00A048A8"/>
    <w:rsid w:val="00A04F49"/>
    <w:rsid w:val="00A10B8E"/>
    <w:rsid w:val="00A13E54"/>
    <w:rsid w:val="00A17F63"/>
    <w:rsid w:val="00A2193B"/>
    <w:rsid w:val="00A2351A"/>
    <w:rsid w:val="00A264A9"/>
    <w:rsid w:val="00A26DCF"/>
    <w:rsid w:val="00A27785"/>
    <w:rsid w:val="00A30187"/>
    <w:rsid w:val="00A3035A"/>
    <w:rsid w:val="00A3448A"/>
    <w:rsid w:val="00A36297"/>
    <w:rsid w:val="00A41E2B"/>
    <w:rsid w:val="00A45B74"/>
    <w:rsid w:val="00A515AE"/>
    <w:rsid w:val="00A518D0"/>
    <w:rsid w:val="00A52E1D"/>
    <w:rsid w:val="00A54D7D"/>
    <w:rsid w:val="00A61499"/>
    <w:rsid w:val="00A61665"/>
    <w:rsid w:val="00A62111"/>
    <w:rsid w:val="00A62A77"/>
    <w:rsid w:val="00A63483"/>
    <w:rsid w:val="00A657D7"/>
    <w:rsid w:val="00A660AC"/>
    <w:rsid w:val="00A67E6C"/>
    <w:rsid w:val="00A71680"/>
    <w:rsid w:val="00A71B99"/>
    <w:rsid w:val="00A739D0"/>
    <w:rsid w:val="00A75CE5"/>
    <w:rsid w:val="00A761D4"/>
    <w:rsid w:val="00A77EC4"/>
    <w:rsid w:val="00A90774"/>
    <w:rsid w:val="00A92879"/>
    <w:rsid w:val="00A9442A"/>
    <w:rsid w:val="00A95AE0"/>
    <w:rsid w:val="00AA016F"/>
    <w:rsid w:val="00AA1ED6"/>
    <w:rsid w:val="00AA3E6F"/>
    <w:rsid w:val="00AA51D6"/>
    <w:rsid w:val="00AA5E92"/>
    <w:rsid w:val="00AB0833"/>
    <w:rsid w:val="00AB0BC8"/>
    <w:rsid w:val="00AB11CA"/>
    <w:rsid w:val="00AB14D9"/>
    <w:rsid w:val="00AB3F86"/>
    <w:rsid w:val="00AB4AB8"/>
    <w:rsid w:val="00AB5B6A"/>
    <w:rsid w:val="00AB655E"/>
    <w:rsid w:val="00AC007F"/>
    <w:rsid w:val="00AC1D9E"/>
    <w:rsid w:val="00AC2933"/>
    <w:rsid w:val="00AC2B3F"/>
    <w:rsid w:val="00AC2ECD"/>
    <w:rsid w:val="00AC3119"/>
    <w:rsid w:val="00AC49FB"/>
    <w:rsid w:val="00AC5A10"/>
    <w:rsid w:val="00AC5F10"/>
    <w:rsid w:val="00AD0AA3"/>
    <w:rsid w:val="00AD3F94"/>
    <w:rsid w:val="00AD4124"/>
    <w:rsid w:val="00AD4A5A"/>
    <w:rsid w:val="00AE27AC"/>
    <w:rsid w:val="00AE3E37"/>
    <w:rsid w:val="00AE40E0"/>
    <w:rsid w:val="00AE4DBA"/>
    <w:rsid w:val="00AE4F07"/>
    <w:rsid w:val="00AE7A66"/>
    <w:rsid w:val="00AF1C5D"/>
    <w:rsid w:val="00AF3463"/>
    <w:rsid w:val="00AF42D7"/>
    <w:rsid w:val="00AF4DD8"/>
    <w:rsid w:val="00AF6555"/>
    <w:rsid w:val="00B006FE"/>
    <w:rsid w:val="00B007CB"/>
    <w:rsid w:val="00B02AA9"/>
    <w:rsid w:val="00B02FA3"/>
    <w:rsid w:val="00B05084"/>
    <w:rsid w:val="00B06775"/>
    <w:rsid w:val="00B11513"/>
    <w:rsid w:val="00B12692"/>
    <w:rsid w:val="00B157F9"/>
    <w:rsid w:val="00B20256"/>
    <w:rsid w:val="00B20D09"/>
    <w:rsid w:val="00B2763F"/>
    <w:rsid w:val="00B27A67"/>
    <w:rsid w:val="00B27AAC"/>
    <w:rsid w:val="00B30929"/>
    <w:rsid w:val="00B372AA"/>
    <w:rsid w:val="00B372B1"/>
    <w:rsid w:val="00B40445"/>
    <w:rsid w:val="00B409E0"/>
    <w:rsid w:val="00B41888"/>
    <w:rsid w:val="00B45A52"/>
    <w:rsid w:val="00B46175"/>
    <w:rsid w:val="00B473FD"/>
    <w:rsid w:val="00B5116B"/>
    <w:rsid w:val="00B52F9B"/>
    <w:rsid w:val="00B5409F"/>
    <w:rsid w:val="00B548B7"/>
    <w:rsid w:val="00B61AFB"/>
    <w:rsid w:val="00B664C7"/>
    <w:rsid w:val="00B6706E"/>
    <w:rsid w:val="00B704F7"/>
    <w:rsid w:val="00B72ABF"/>
    <w:rsid w:val="00B73703"/>
    <w:rsid w:val="00B739F6"/>
    <w:rsid w:val="00B75066"/>
    <w:rsid w:val="00B765C1"/>
    <w:rsid w:val="00B776A4"/>
    <w:rsid w:val="00B80733"/>
    <w:rsid w:val="00B81A6C"/>
    <w:rsid w:val="00B81F00"/>
    <w:rsid w:val="00B82A21"/>
    <w:rsid w:val="00B8553E"/>
    <w:rsid w:val="00B85DE5"/>
    <w:rsid w:val="00B90F73"/>
    <w:rsid w:val="00B932C5"/>
    <w:rsid w:val="00B93B59"/>
    <w:rsid w:val="00B9406A"/>
    <w:rsid w:val="00B977E2"/>
    <w:rsid w:val="00B97C7E"/>
    <w:rsid w:val="00BA2280"/>
    <w:rsid w:val="00BA2A08"/>
    <w:rsid w:val="00BA2DD6"/>
    <w:rsid w:val="00BA3710"/>
    <w:rsid w:val="00BA3ABF"/>
    <w:rsid w:val="00BA4757"/>
    <w:rsid w:val="00BA56D2"/>
    <w:rsid w:val="00BA5DED"/>
    <w:rsid w:val="00BA76E0"/>
    <w:rsid w:val="00BB2A25"/>
    <w:rsid w:val="00BB51E9"/>
    <w:rsid w:val="00BC0FDC"/>
    <w:rsid w:val="00BC3053"/>
    <w:rsid w:val="00BC341C"/>
    <w:rsid w:val="00BC4D2E"/>
    <w:rsid w:val="00BD1224"/>
    <w:rsid w:val="00BD3137"/>
    <w:rsid w:val="00BD48AC"/>
    <w:rsid w:val="00BD5AE4"/>
    <w:rsid w:val="00BD5F1A"/>
    <w:rsid w:val="00BD70C8"/>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6E52"/>
    <w:rsid w:val="00C279B5"/>
    <w:rsid w:val="00C27C45"/>
    <w:rsid w:val="00C3719D"/>
    <w:rsid w:val="00C3756B"/>
    <w:rsid w:val="00C37CB2"/>
    <w:rsid w:val="00C37DEB"/>
    <w:rsid w:val="00C473A5"/>
    <w:rsid w:val="00C54995"/>
    <w:rsid w:val="00C54D41"/>
    <w:rsid w:val="00C605BE"/>
    <w:rsid w:val="00C60783"/>
    <w:rsid w:val="00C64672"/>
    <w:rsid w:val="00C66408"/>
    <w:rsid w:val="00C66445"/>
    <w:rsid w:val="00C66952"/>
    <w:rsid w:val="00C70697"/>
    <w:rsid w:val="00C72093"/>
    <w:rsid w:val="00C72EF4"/>
    <w:rsid w:val="00C744FE"/>
    <w:rsid w:val="00C75D2F"/>
    <w:rsid w:val="00C767BE"/>
    <w:rsid w:val="00C76E3C"/>
    <w:rsid w:val="00C81568"/>
    <w:rsid w:val="00C83AAD"/>
    <w:rsid w:val="00C83CC2"/>
    <w:rsid w:val="00C86CB8"/>
    <w:rsid w:val="00C9027A"/>
    <w:rsid w:val="00C9068E"/>
    <w:rsid w:val="00C93814"/>
    <w:rsid w:val="00C93C4B"/>
    <w:rsid w:val="00C944AB"/>
    <w:rsid w:val="00C9483F"/>
    <w:rsid w:val="00C95345"/>
    <w:rsid w:val="00C95B40"/>
    <w:rsid w:val="00CA1ED8"/>
    <w:rsid w:val="00CA2B53"/>
    <w:rsid w:val="00CA4BA4"/>
    <w:rsid w:val="00CA66CC"/>
    <w:rsid w:val="00CA6ACA"/>
    <w:rsid w:val="00CA72EA"/>
    <w:rsid w:val="00CA7FF8"/>
    <w:rsid w:val="00CB0FB1"/>
    <w:rsid w:val="00CB1F63"/>
    <w:rsid w:val="00CB2B26"/>
    <w:rsid w:val="00CB7170"/>
    <w:rsid w:val="00CC00FC"/>
    <w:rsid w:val="00CC040E"/>
    <w:rsid w:val="00CC111F"/>
    <w:rsid w:val="00CC151B"/>
    <w:rsid w:val="00CC2011"/>
    <w:rsid w:val="00CC3EA0"/>
    <w:rsid w:val="00CC53D1"/>
    <w:rsid w:val="00CC7B45"/>
    <w:rsid w:val="00CD0406"/>
    <w:rsid w:val="00CD1188"/>
    <w:rsid w:val="00CD2611"/>
    <w:rsid w:val="00CD2ED1"/>
    <w:rsid w:val="00CD337B"/>
    <w:rsid w:val="00CE0424"/>
    <w:rsid w:val="00CE0A04"/>
    <w:rsid w:val="00CE2374"/>
    <w:rsid w:val="00CE6854"/>
    <w:rsid w:val="00CE706A"/>
    <w:rsid w:val="00CE730A"/>
    <w:rsid w:val="00CE7561"/>
    <w:rsid w:val="00CF1354"/>
    <w:rsid w:val="00CF3B1F"/>
    <w:rsid w:val="00CF3BF6"/>
    <w:rsid w:val="00CF625B"/>
    <w:rsid w:val="00CF6830"/>
    <w:rsid w:val="00CF687E"/>
    <w:rsid w:val="00CF7AE3"/>
    <w:rsid w:val="00CF7B93"/>
    <w:rsid w:val="00D01ED9"/>
    <w:rsid w:val="00D0349B"/>
    <w:rsid w:val="00D047AA"/>
    <w:rsid w:val="00D10249"/>
    <w:rsid w:val="00D115C3"/>
    <w:rsid w:val="00D11897"/>
    <w:rsid w:val="00D13135"/>
    <w:rsid w:val="00D13E4E"/>
    <w:rsid w:val="00D1450C"/>
    <w:rsid w:val="00D1605D"/>
    <w:rsid w:val="00D21945"/>
    <w:rsid w:val="00D239A7"/>
    <w:rsid w:val="00D23F47"/>
    <w:rsid w:val="00D25D74"/>
    <w:rsid w:val="00D341EE"/>
    <w:rsid w:val="00D36E71"/>
    <w:rsid w:val="00D37D87"/>
    <w:rsid w:val="00D40B33"/>
    <w:rsid w:val="00D4318F"/>
    <w:rsid w:val="00D438BF"/>
    <w:rsid w:val="00D440F8"/>
    <w:rsid w:val="00D446FF"/>
    <w:rsid w:val="00D53219"/>
    <w:rsid w:val="00D5397F"/>
    <w:rsid w:val="00D546FF"/>
    <w:rsid w:val="00D55AD5"/>
    <w:rsid w:val="00D564CB"/>
    <w:rsid w:val="00D576CA"/>
    <w:rsid w:val="00D57BFF"/>
    <w:rsid w:val="00D60A81"/>
    <w:rsid w:val="00D61AF5"/>
    <w:rsid w:val="00D634CF"/>
    <w:rsid w:val="00D64658"/>
    <w:rsid w:val="00D652B5"/>
    <w:rsid w:val="00D66155"/>
    <w:rsid w:val="00D708B0"/>
    <w:rsid w:val="00D74E90"/>
    <w:rsid w:val="00D77B1D"/>
    <w:rsid w:val="00D8021F"/>
    <w:rsid w:val="00D80383"/>
    <w:rsid w:val="00D823C6"/>
    <w:rsid w:val="00D8327F"/>
    <w:rsid w:val="00D84A83"/>
    <w:rsid w:val="00D865D7"/>
    <w:rsid w:val="00D86CA3"/>
    <w:rsid w:val="00D871CE"/>
    <w:rsid w:val="00D9196D"/>
    <w:rsid w:val="00D92982"/>
    <w:rsid w:val="00D97FF6"/>
    <w:rsid w:val="00DA0271"/>
    <w:rsid w:val="00DA305E"/>
    <w:rsid w:val="00DA5417"/>
    <w:rsid w:val="00DA56E8"/>
    <w:rsid w:val="00DA769A"/>
    <w:rsid w:val="00DB0A9F"/>
    <w:rsid w:val="00DB377D"/>
    <w:rsid w:val="00DC0923"/>
    <w:rsid w:val="00DC106B"/>
    <w:rsid w:val="00DC1718"/>
    <w:rsid w:val="00DC21B1"/>
    <w:rsid w:val="00DC2219"/>
    <w:rsid w:val="00DC2CA0"/>
    <w:rsid w:val="00DC2D36"/>
    <w:rsid w:val="00DC3429"/>
    <w:rsid w:val="00DC42AE"/>
    <w:rsid w:val="00DC53EF"/>
    <w:rsid w:val="00DC5AB6"/>
    <w:rsid w:val="00DC604C"/>
    <w:rsid w:val="00DE4D7E"/>
    <w:rsid w:val="00DE5608"/>
    <w:rsid w:val="00DE58D0"/>
    <w:rsid w:val="00DE654F"/>
    <w:rsid w:val="00DF0B6E"/>
    <w:rsid w:val="00DF15E0"/>
    <w:rsid w:val="00DF37A0"/>
    <w:rsid w:val="00DF66E1"/>
    <w:rsid w:val="00E110E7"/>
    <w:rsid w:val="00E11B20"/>
    <w:rsid w:val="00E17FA2"/>
    <w:rsid w:val="00E22330"/>
    <w:rsid w:val="00E22978"/>
    <w:rsid w:val="00E2792F"/>
    <w:rsid w:val="00E30B5A"/>
    <w:rsid w:val="00E3123D"/>
    <w:rsid w:val="00E31461"/>
    <w:rsid w:val="00E31D43"/>
    <w:rsid w:val="00E32608"/>
    <w:rsid w:val="00E34188"/>
    <w:rsid w:val="00E34B6E"/>
    <w:rsid w:val="00E35559"/>
    <w:rsid w:val="00E36838"/>
    <w:rsid w:val="00E3723A"/>
    <w:rsid w:val="00E37403"/>
    <w:rsid w:val="00E37860"/>
    <w:rsid w:val="00E4023F"/>
    <w:rsid w:val="00E446F1"/>
    <w:rsid w:val="00E46886"/>
    <w:rsid w:val="00E47AEF"/>
    <w:rsid w:val="00E51FDE"/>
    <w:rsid w:val="00E53B75"/>
    <w:rsid w:val="00E54E3B"/>
    <w:rsid w:val="00E57565"/>
    <w:rsid w:val="00E60783"/>
    <w:rsid w:val="00E63838"/>
    <w:rsid w:val="00E64434"/>
    <w:rsid w:val="00E64F41"/>
    <w:rsid w:val="00E65667"/>
    <w:rsid w:val="00E66BCE"/>
    <w:rsid w:val="00E67C51"/>
    <w:rsid w:val="00E723F5"/>
    <w:rsid w:val="00E72EFC"/>
    <w:rsid w:val="00E743C6"/>
    <w:rsid w:val="00E758EC"/>
    <w:rsid w:val="00E82034"/>
    <w:rsid w:val="00E8234C"/>
    <w:rsid w:val="00E83AA9"/>
    <w:rsid w:val="00E85928"/>
    <w:rsid w:val="00E87822"/>
    <w:rsid w:val="00E90395"/>
    <w:rsid w:val="00E90E49"/>
    <w:rsid w:val="00E90EAE"/>
    <w:rsid w:val="00E917F9"/>
    <w:rsid w:val="00E9291C"/>
    <w:rsid w:val="00E93FFE"/>
    <w:rsid w:val="00E94F8A"/>
    <w:rsid w:val="00E95901"/>
    <w:rsid w:val="00E966EC"/>
    <w:rsid w:val="00EA51E0"/>
    <w:rsid w:val="00EA7A41"/>
    <w:rsid w:val="00EB077B"/>
    <w:rsid w:val="00EB377F"/>
    <w:rsid w:val="00EB4EA2"/>
    <w:rsid w:val="00EC24D5"/>
    <w:rsid w:val="00EC27C6"/>
    <w:rsid w:val="00EC4207"/>
    <w:rsid w:val="00EC5653"/>
    <w:rsid w:val="00EC71CE"/>
    <w:rsid w:val="00EC74E9"/>
    <w:rsid w:val="00ED1006"/>
    <w:rsid w:val="00ED1BC9"/>
    <w:rsid w:val="00ED4809"/>
    <w:rsid w:val="00EF18FE"/>
    <w:rsid w:val="00EF5787"/>
    <w:rsid w:val="00EF5CE9"/>
    <w:rsid w:val="00EF60D0"/>
    <w:rsid w:val="00F00789"/>
    <w:rsid w:val="00F0528D"/>
    <w:rsid w:val="00F06C67"/>
    <w:rsid w:val="00F06DFD"/>
    <w:rsid w:val="00F071D1"/>
    <w:rsid w:val="00F07533"/>
    <w:rsid w:val="00F10629"/>
    <w:rsid w:val="00F14B81"/>
    <w:rsid w:val="00F15FA5"/>
    <w:rsid w:val="00F209B7"/>
    <w:rsid w:val="00F20F5C"/>
    <w:rsid w:val="00F2376F"/>
    <w:rsid w:val="00F243D8"/>
    <w:rsid w:val="00F30828"/>
    <w:rsid w:val="00F313D6"/>
    <w:rsid w:val="00F34259"/>
    <w:rsid w:val="00F353A6"/>
    <w:rsid w:val="00F40293"/>
    <w:rsid w:val="00F40F0C"/>
    <w:rsid w:val="00F41224"/>
    <w:rsid w:val="00F421E6"/>
    <w:rsid w:val="00F44ECC"/>
    <w:rsid w:val="00F463C9"/>
    <w:rsid w:val="00F46ACC"/>
    <w:rsid w:val="00F4766C"/>
    <w:rsid w:val="00F5060E"/>
    <w:rsid w:val="00F507D1"/>
    <w:rsid w:val="00F517FD"/>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5E1"/>
    <w:rsid w:val="00F859D8"/>
    <w:rsid w:val="00F868F5"/>
    <w:rsid w:val="00F9056A"/>
    <w:rsid w:val="00F90F8D"/>
    <w:rsid w:val="00F924DB"/>
    <w:rsid w:val="00F92782"/>
    <w:rsid w:val="00F933E5"/>
    <w:rsid w:val="00F93A67"/>
    <w:rsid w:val="00F93AA9"/>
    <w:rsid w:val="00F95013"/>
    <w:rsid w:val="00F96985"/>
    <w:rsid w:val="00F97377"/>
    <w:rsid w:val="00F97838"/>
    <w:rsid w:val="00FA2BB3"/>
    <w:rsid w:val="00FA3A7B"/>
    <w:rsid w:val="00FA509E"/>
    <w:rsid w:val="00FA65F5"/>
    <w:rsid w:val="00FB1EB6"/>
    <w:rsid w:val="00FB4C80"/>
    <w:rsid w:val="00FB68E7"/>
    <w:rsid w:val="00FB6A6A"/>
    <w:rsid w:val="00FB6DD4"/>
    <w:rsid w:val="00FC1599"/>
    <w:rsid w:val="00FC32F5"/>
    <w:rsid w:val="00FC6E14"/>
    <w:rsid w:val="00FC7429"/>
    <w:rsid w:val="00FD07F6"/>
    <w:rsid w:val="00FD1EC8"/>
    <w:rsid w:val="00FD2171"/>
    <w:rsid w:val="00FD26F4"/>
    <w:rsid w:val="00FD47ED"/>
    <w:rsid w:val="00FD66ED"/>
    <w:rsid w:val="00FD74DB"/>
    <w:rsid w:val="00FD7660"/>
    <w:rsid w:val="00FE0655"/>
    <w:rsid w:val="00FE2365"/>
    <w:rsid w:val="00FE2609"/>
    <w:rsid w:val="00FE37D7"/>
    <w:rsid w:val="00FE4C7B"/>
    <w:rsid w:val="00FE6ACD"/>
    <w:rsid w:val="00FE7336"/>
    <w:rsid w:val="00FE787C"/>
    <w:rsid w:val="00FF45A5"/>
    <w:rsid w:val="00FF5247"/>
    <w:rsid w:val="00FF5867"/>
    <w:rsid w:val="00FF5B4B"/>
    <w:rsid w:val="00FF5C91"/>
    <w:rsid w:val="00FF706F"/>
    <w:rsid w:val="00FF79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9D39BE63-D853-4A69-A2F0-4F134C3E2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1"/>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ComeBack">
    <w:name w:val="ComeBack"/>
    <w:basedOn w:val="Doc-text2"/>
    <w:next w:val="Doc-text2"/>
    <w:qFormat/>
    <w:rsid w:val="00CA72EA"/>
    <w:pPr>
      <w:numPr>
        <w:numId w:val="30"/>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IvDbodytext">
    <w:name w:val="IvD bodytext"/>
    <w:basedOn w:val="BodyText"/>
    <w:link w:val="IvDbodytextChar"/>
    <w:qFormat/>
    <w:rsid w:val="00CA72E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CA72EA"/>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24A6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24A62"/>
    <w:rPr>
      <w:rFonts w:ascii="Arial" w:hAnsi="Arial"/>
      <w:i/>
      <w:color w:val="7F7F7F" w:themeColor="text1" w:themeTint="80"/>
      <w:spacing w:val="2"/>
      <w:sz w:val="18"/>
      <w:szCs w:val="18"/>
      <w:lang w:val="en-US" w:eastAsia="en-US"/>
    </w:rPr>
  </w:style>
  <w:style w:type="paragraph" w:styleId="Revision">
    <w:name w:val="Revision"/>
    <w:hidden/>
    <w:uiPriority w:val="99"/>
    <w:semiHidden/>
    <w:rsid w:val="00601ECB"/>
    <w:rPr>
      <w:rFonts w:ascii="Times New Roman" w:hAnsi="Times New Roman"/>
      <w:lang w:eastAsia="ja-JP"/>
    </w:rPr>
  </w:style>
  <w:style w:type="character" w:customStyle="1" w:styleId="TALChar">
    <w:name w:val="TAL Char"/>
    <w:qFormat/>
    <w:rsid w:val="001B5179"/>
    <w:rPr>
      <w:rFonts w:ascii="Arial" w:hAnsi="Arial"/>
      <w:sz w:val="18"/>
      <w:lang w:val="en-GB" w:eastAsia="en-US"/>
    </w:rPr>
  </w:style>
  <w:style w:type="character" w:customStyle="1" w:styleId="TAHChar">
    <w:name w:val="TAH Char"/>
    <w:qFormat/>
    <w:rsid w:val="001B5179"/>
    <w:rPr>
      <w:rFonts w:ascii="Arial" w:hAnsi="Arial"/>
      <w:b/>
      <w:sz w:val="18"/>
      <w:lang w:val="en-GB" w:eastAsia="en-US"/>
    </w:rPr>
  </w:style>
  <w:style w:type="character" w:customStyle="1" w:styleId="TACChar">
    <w:name w:val="TAC Char"/>
    <w:link w:val="TAC"/>
    <w:qFormat/>
    <w:locked/>
    <w:rsid w:val="001B5179"/>
    <w:rPr>
      <w:rFonts w:ascii="Arial" w:hAnsi="Arial"/>
      <w:sz w:val="18"/>
      <w:lang w:val="x-none" w:eastAsia="x-none"/>
    </w:rPr>
  </w:style>
  <w:style w:type="paragraph" w:customStyle="1" w:styleId="paragraph">
    <w:name w:val="paragraph"/>
    <w:basedOn w:val="Normal"/>
    <w:rsid w:val="00482D1A"/>
    <w:pPr>
      <w:overflowPunct/>
      <w:autoSpaceDE/>
      <w:autoSpaceDN/>
      <w:adjustRightInd/>
      <w:spacing w:before="100" w:beforeAutospacing="1" w:after="100" w:afterAutospacing="1"/>
      <w:textAlignment w:val="auto"/>
    </w:pPr>
    <w:rPr>
      <w:sz w:val="24"/>
      <w:szCs w:val="24"/>
      <w:lang w:val="en-SE" w:eastAsia="en-SE"/>
    </w:rPr>
  </w:style>
  <w:style w:type="character" w:customStyle="1" w:styleId="normaltextrun">
    <w:name w:val="normaltextrun"/>
    <w:basedOn w:val="DefaultParagraphFont"/>
    <w:rsid w:val="00482D1A"/>
  </w:style>
  <w:style w:type="character" w:customStyle="1" w:styleId="eop">
    <w:name w:val="eop"/>
    <w:basedOn w:val="DefaultParagraphFont"/>
    <w:rsid w:val="00482D1A"/>
  </w:style>
  <w:style w:type="character" w:customStyle="1" w:styleId="tabchar">
    <w:name w:val="tabchar"/>
    <w:basedOn w:val="DefaultParagraphFont"/>
    <w:rsid w:val="00482D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623288">
      <w:bodyDiv w:val="1"/>
      <w:marLeft w:val="0"/>
      <w:marRight w:val="0"/>
      <w:marTop w:val="0"/>
      <w:marBottom w:val="0"/>
      <w:divBdr>
        <w:top w:val="none" w:sz="0" w:space="0" w:color="auto"/>
        <w:left w:val="none" w:sz="0" w:space="0" w:color="auto"/>
        <w:bottom w:val="none" w:sz="0" w:space="0" w:color="auto"/>
        <w:right w:val="none" w:sz="0" w:space="0" w:color="auto"/>
      </w:divBdr>
    </w:div>
    <w:div w:id="1133600751">
      <w:bodyDiv w:val="1"/>
      <w:marLeft w:val="0"/>
      <w:marRight w:val="0"/>
      <w:marTop w:val="0"/>
      <w:marBottom w:val="0"/>
      <w:divBdr>
        <w:top w:val="none" w:sz="0" w:space="0" w:color="auto"/>
        <w:left w:val="none" w:sz="0" w:space="0" w:color="auto"/>
        <w:bottom w:val="none" w:sz="0" w:space="0" w:color="auto"/>
        <w:right w:val="none" w:sz="0" w:space="0" w:color="auto"/>
      </w:divBdr>
    </w:div>
    <w:div w:id="1379279567">
      <w:bodyDiv w:val="1"/>
      <w:marLeft w:val="0"/>
      <w:marRight w:val="0"/>
      <w:marTop w:val="0"/>
      <w:marBottom w:val="0"/>
      <w:divBdr>
        <w:top w:val="none" w:sz="0" w:space="0" w:color="auto"/>
        <w:left w:val="none" w:sz="0" w:space="0" w:color="auto"/>
        <w:bottom w:val="none" w:sz="0" w:space="0" w:color="auto"/>
        <w:right w:val="none" w:sz="0" w:space="0" w:color="auto"/>
      </w:divBdr>
      <w:divsChild>
        <w:div w:id="217978647">
          <w:marLeft w:val="0"/>
          <w:marRight w:val="0"/>
          <w:marTop w:val="0"/>
          <w:marBottom w:val="0"/>
          <w:divBdr>
            <w:top w:val="none" w:sz="0" w:space="0" w:color="auto"/>
            <w:left w:val="none" w:sz="0" w:space="0" w:color="auto"/>
            <w:bottom w:val="none" w:sz="0" w:space="0" w:color="auto"/>
            <w:right w:val="none" w:sz="0" w:space="0" w:color="auto"/>
          </w:divBdr>
        </w:div>
        <w:div w:id="1376808274">
          <w:marLeft w:val="0"/>
          <w:marRight w:val="0"/>
          <w:marTop w:val="0"/>
          <w:marBottom w:val="0"/>
          <w:divBdr>
            <w:top w:val="none" w:sz="0" w:space="0" w:color="auto"/>
            <w:left w:val="none" w:sz="0" w:space="0" w:color="auto"/>
            <w:bottom w:val="none" w:sz="0" w:space="0" w:color="auto"/>
            <w:right w:val="none" w:sz="0" w:space="0" w:color="auto"/>
          </w:divBdr>
        </w:div>
        <w:div w:id="1406418028">
          <w:marLeft w:val="0"/>
          <w:marRight w:val="0"/>
          <w:marTop w:val="0"/>
          <w:marBottom w:val="0"/>
          <w:divBdr>
            <w:top w:val="none" w:sz="0" w:space="0" w:color="auto"/>
            <w:left w:val="none" w:sz="0" w:space="0" w:color="auto"/>
            <w:bottom w:val="none" w:sz="0" w:space="0" w:color="auto"/>
            <w:right w:val="none" w:sz="0" w:space="0" w:color="auto"/>
          </w:divBdr>
        </w:div>
        <w:div w:id="2011908810">
          <w:marLeft w:val="0"/>
          <w:marRight w:val="0"/>
          <w:marTop w:val="0"/>
          <w:marBottom w:val="0"/>
          <w:divBdr>
            <w:top w:val="none" w:sz="0" w:space="0" w:color="auto"/>
            <w:left w:val="none" w:sz="0" w:space="0" w:color="auto"/>
            <w:bottom w:val="none" w:sz="0" w:space="0" w:color="auto"/>
            <w:right w:val="none" w:sz="0" w:space="0" w:color="auto"/>
          </w:divBdr>
        </w:div>
        <w:div w:id="2018144162">
          <w:marLeft w:val="0"/>
          <w:marRight w:val="0"/>
          <w:marTop w:val="0"/>
          <w:marBottom w:val="0"/>
          <w:divBdr>
            <w:top w:val="none" w:sz="0" w:space="0" w:color="auto"/>
            <w:left w:val="none" w:sz="0" w:space="0" w:color="auto"/>
            <w:bottom w:val="none" w:sz="0" w:space="0" w:color="auto"/>
            <w:right w:val="none" w:sz="0" w:space="0" w:color="auto"/>
          </w:divBdr>
        </w:div>
      </w:divsChild>
    </w:div>
    <w:div w:id="1788159450">
      <w:bodyDiv w:val="1"/>
      <w:marLeft w:val="0"/>
      <w:marRight w:val="0"/>
      <w:marTop w:val="0"/>
      <w:marBottom w:val="0"/>
      <w:divBdr>
        <w:top w:val="none" w:sz="0" w:space="0" w:color="auto"/>
        <w:left w:val="none" w:sz="0" w:space="0" w:color="auto"/>
        <w:bottom w:val="none" w:sz="0" w:space="0" w:color="auto"/>
        <w:right w:val="none" w:sz="0" w:space="0" w:color="auto"/>
      </w:divBdr>
    </w:div>
    <w:div w:id="187172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E3FC44-96AA-42F6-959A-E6C331363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purl.org/dc/terms/"/>
    <ds:schemaRef ds:uri="http://purl.org/dc/elements/1.1/"/>
    <ds:schemaRef ds:uri="http://schemas.microsoft.com/office/2006/documentManagement/types"/>
    <ds:schemaRef ds:uri="d8762117-8292-4133-b1c7-eab5c6487cfd"/>
    <ds:schemaRef ds:uri="http://schemas.microsoft.com/sharepoint/v3"/>
    <ds:schemaRef ds:uri="http://schemas.microsoft.com/office/infopath/2007/PartnerControls"/>
    <ds:schemaRef ds:uri="http://www.w3.org/XML/1998/namespace"/>
    <ds:schemaRef ds:uri="http://schemas.openxmlformats.org/package/2006/metadata/core-properties"/>
    <ds:schemaRef ds:uri="9b239327-9e80-40e4-b1b7-4394fed77a33"/>
    <ds:schemaRef ds:uri="2f282d3b-eb4a-4b09-b61f-b9593442e286"/>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0</TotalTime>
  <Pages>5</Pages>
  <Words>2096</Words>
  <Characters>10635</Characters>
  <Application>Microsoft Office Word</Application>
  <DocSecurity>0</DocSecurity>
  <Lines>208</Lines>
  <Paragraphs>174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12557</CharactersWithSpaces>
  <SharedDoc>false</SharedDoc>
  <HLinks>
    <vt:vector size="180" baseType="variant">
      <vt:variant>
        <vt:i4>1638457</vt:i4>
      </vt:variant>
      <vt:variant>
        <vt:i4>92</vt:i4>
      </vt:variant>
      <vt:variant>
        <vt:i4>0</vt:i4>
      </vt:variant>
      <vt:variant>
        <vt:i4>5</vt:i4>
      </vt:variant>
      <vt:variant>
        <vt:lpwstr/>
      </vt:variant>
      <vt:variant>
        <vt:lpwstr>_Toc146778958</vt:lpwstr>
      </vt:variant>
      <vt:variant>
        <vt:i4>1638457</vt:i4>
      </vt:variant>
      <vt:variant>
        <vt:i4>89</vt:i4>
      </vt:variant>
      <vt:variant>
        <vt:i4>0</vt:i4>
      </vt:variant>
      <vt:variant>
        <vt:i4>5</vt:i4>
      </vt:variant>
      <vt:variant>
        <vt:lpwstr/>
      </vt:variant>
      <vt:variant>
        <vt:lpwstr>_Toc146778957</vt:lpwstr>
      </vt:variant>
      <vt:variant>
        <vt:i4>1638457</vt:i4>
      </vt:variant>
      <vt:variant>
        <vt:i4>86</vt:i4>
      </vt:variant>
      <vt:variant>
        <vt:i4>0</vt:i4>
      </vt:variant>
      <vt:variant>
        <vt:i4>5</vt:i4>
      </vt:variant>
      <vt:variant>
        <vt:lpwstr/>
      </vt:variant>
      <vt:variant>
        <vt:lpwstr>_Toc146778956</vt:lpwstr>
      </vt:variant>
      <vt:variant>
        <vt:i4>1638457</vt:i4>
      </vt:variant>
      <vt:variant>
        <vt:i4>83</vt:i4>
      </vt:variant>
      <vt:variant>
        <vt:i4>0</vt:i4>
      </vt:variant>
      <vt:variant>
        <vt:i4>5</vt:i4>
      </vt:variant>
      <vt:variant>
        <vt:lpwstr/>
      </vt:variant>
      <vt:variant>
        <vt:lpwstr>_Toc146778955</vt:lpwstr>
      </vt:variant>
      <vt:variant>
        <vt:i4>1638457</vt:i4>
      </vt:variant>
      <vt:variant>
        <vt:i4>80</vt:i4>
      </vt:variant>
      <vt:variant>
        <vt:i4>0</vt:i4>
      </vt:variant>
      <vt:variant>
        <vt:i4>5</vt:i4>
      </vt:variant>
      <vt:variant>
        <vt:lpwstr/>
      </vt:variant>
      <vt:variant>
        <vt:lpwstr>_Toc146778954</vt:lpwstr>
      </vt:variant>
      <vt:variant>
        <vt:i4>1638457</vt:i4>
      </vt:variant>
      <vt:variant>
        <vt:i4>77</vt:i4>
      </vt:variant>
      <vt:variant>
        <vt:i4>0</vt:i4>
      </vt:variant>
      <vt:variant>
        <vt:i4>5</vt:i4>
      </vt:variant>
      <vt:variant>
        <vt:lpwstr/>
      </vt:variant>
      <vt:variant>
        <vt:lpwstr>_Toc146778953</vt:lpwstr>
      </vt:variant>
      <vt:variant>
        <vt:i4>1638457</vt:i4>
      </vt:variant>
      <vt:variant>
        <vt:i4>74</vt:i4>
      </vt:variant>
      <vt:variant>
        <vt:i4>0</vt:i4>
      </vt:variant>
      <vt:variant>
        <vt:i4>5</vt:i4>
      </vt:variant>
      <vt:variant>
        <vt:lpwstr/>
      </vt:variant>
      <vt:variant>
        <vt:lpwstr>_Toc146778952</vt:lpwstr>
      </vt:variant>
      <vt:variant>
        <vt:i4>1638457</vt:i4>
      </vt:variant>
      <vt:variant>
        <vt:i4>71</vt:i4>
      </vt:variant>
      <vt:variant>
        <vt:i4>0</vt:i4>
      </vt:variant>
      <vt:variant>
        <vt:i4>5</vt:i4>
      </vt:variant>
      <vt:variant>
        <vt:lpwstr/>
      </vt:variant>
      <vt:variant>
        <vt:lpwstr>_Toc146778951</vt:lpwstr>
      </vt:variant>
      <vt:variant>
        <vt:i4>1638457</vt:i4>
      </vt:variant>
      <vt:variant>
        <vt:i4>68</vt:i4>
      </vt:variant>
      <vt:variant>
        <vt:i4>0</vt:i4>
      </vt:variant>
      <vt:variant>
        <vt:i4>5</vt:i4>
      </vt:variant>
      <vt:variant>
        <vt:lpwstr/>
      </vt:variant>
      <vt:variant>
        <vt:lpwstr>_Toc146778950</vt:lpwstr>
      </vt:variant>
      <vt:variant>
        <vt:i4>1572921</vt:i4>
      </vt:variant>
      <vt:variant>
        <vt:i4>65</vt:i4>
      </vt:variant>
      <vt:variant>
        <vt:i4>0</vt:i4>
      </vt:variant>
      <vt:variant>
        <vt:i4>5</vt:i4>
      </vt:variant>
      <vt:variant>
        <vt:lpwstr/>
      </vt:variant>
      <vt:variant>
        <vt:lpwstr>_Toc146778949</vt:lpwstr>
      </vt:variant>
      <vt:variant>
        <vt:i4>1572921</vt:i4>
      </vt:variant>
      <vt:variant>
        <vt:i4>62</vt:i4>
      </vt:variant>
      <vt:variant>
        <vt:i4>0</vt:i4>
      </vt:variant>
      <vt:variant>
        <vt:i4>5</vt:i4>
      </vt:variant>
      <vt:variant>
        <vt:lpwstr/>
      </vt:variant>
      <vt:variant>
        <vt:lpwstr>_Toc146778948</vt:lpwstr>
      </vt:variant>
      <vt:variant>
        <vt:i4>1572921</vt:i4>
      </vt:variant>
      <vt:variant>
        <vt:i4>59</vt:i4>
      </vt:variant>
      <vt:variant>
        <vt:i4>0</vt:i4>
      </vt:variant>
      <vt:variant>
        <vt:i4>5</vt:i4>
      </vt:variant>
      <vt:variant>
        <vt:lpwstr/>
      </vt:variant>
      <vt:variant>
        <vt:lpwstr>_Toc146778947</vt:lpwstr>
      </vt:variant>
      <vt:variant>
        <vt:i4>1572921</vt:i4>
      </vt:variant>
      <vt:variant>
        <vt:i4>56</vt:i4>
      </vt:variant>
      <vt:variant>
        <vt:i4>0</vt:i4>
      </vt:variant>
      <vt:variant>
        <vt:i4>5</vt:i4>
      </vt:variant>
      <vt:variant>
        <vt:lpwstr/>
      </vt:variant>
      <vt:variant>
        <vt:lpwstr>_Toc146778946</vt:lpwstr>
      </vt:variant>
      <vt:variant>
        <vt:i4>1572921</vt:i4>
      </vt:variant>
      <vt:variant>
        <vt:i4>53</vt:i4>
      </vt:variant>
      <vt:variant>
        <vt:i4>0</vt:i4>
      </vt:variant>
      <vt:variant>
        <vt:i4>5</vt:i4>
      </vt:variant>
      <vt:variant>
        <vt:lpwstr/>
      </vt:variant>
      <vt:variant>
        <vt:lpwstr>_Toc146778945</vt:lpwstr>
      </vt:variant>
      <vt:variant>
        <vt:i4>1572921</vt:i4>
      </vt:variant>
      <vt:variant>
        <vt:i4>50</vt:i4>
      </vt:variant>
      <vt:variant>
        <vt:i4>0</vt:i4>
      </vt:variant>
      <vt:variant>
        <vt:i4>5</vt:i4>
      </vt:variant>
      <vt:variant>
        <vt:lpwstr/>
      </vt:variant>
      <vt:variant>
        <vt:lpwstr>_Toc146778944</vt:lpwstr>
      </vt:variant>
      <vt:variant>
        <vt:i4>1572921</vt:i4>
      </vt:variant>
      <vt:variant>
        <vt:i4>47</vt:i4>
      </vt:variant>
      <vt:variant>
        <vt:i4>0</vt:i4>
      </vt:variant>
      <vt:variant>
        <vt:i4>5</vt:i4>
      </vt:variant>
      <vt:variant>
        <vt:lpwstr/>
      </vt:variant>
      <vt:variant>
        <vt:lpwstr>_Toc146778943</vt:lpwstr>
      </vt:variant>
      <vt:variant>
        <vt:i4>1572921</vt:i4>
      </vt:variant>
      <vt:variant>
        <vt:i4>44</vt:i4>
      </vt:variant>
      <vt:variant>
        <vt:i4>0</vt:i4>
      </vt:variant>
      <vt:variant>
        <vt:i4>5</vt:i4>
      </vt:variant>
      <vt:variant>
        <vt:lpwstr/>
      </vt:variant>
      <vt:variant>
        <vt:lpwstr>_Toc146778942</vt:lpwstr>
      </vt:variant>
      <vt:variant>
        <vt:i4>1572921</vt:i4>
      </vt:variant>
      <vt:variant>
        <vt:i4>41</vt:i4>
      </vt:variant>
      <vt:variant>
        <vt:i4>0</vt:i4>
      </vt:variant>
      <vt:variant>
        <vt:i4>5</vt:i4>
      </vt:variant>
      <vt:variant>
        <vt:lpwstr/>
      </vt:variant>
      <vt:variant>
        <vt:lpwstr>_Toc146778941</vt:lpwstr>
      </vt:variant>
      <vt:variant>
        <vt:i4>1572921</vt:i4>
      </vt:variant>
      <vt:variant>
        <vt:i4>38</vt:i4>
      </vt:variant>
      <vt:variant>
        <vt:i4>0</vt:i4>
      </vt:variant>
      <vt:variant>
        <vt:i4>5</vt:i4>
      </vt:variant>
      <vt:variant>
        <vt:lpwstr/>
      </vt:variant>
      <vt:variant>
        <vt:lpwstr>_Toc146778940</vt:lpwstr>
      </vt:variant>
      <vt:variant>
        <vt:i4>2031673</vt:i4>
      </vt:variant>
      <vt:variant>
        <vt:i4>32</vt:i4>
      </vt:variant>
      <vt:variant>
        <vt:i4>0</vt:i4>
      </vt:variant>
      <vt:variant>
        <vt:i4>5</vt:i4>
      </vt:variant>
      <vt:variant>
        <vt:lpwstr/>
      </vt:variant>
      <vt:variant>
        <vt:lpwstr>_Toc146778939</vt:lpwstr>
      </vt:variant>
      <vt:variant>
        <vt:i4>2031673</vt:i4>
      </vt:variant>
      <vt:variant>
        <vt:i4>29</vt:i4>
      </vt:variant>
      <vt:variant>
        <vt:i4>0</vt:i4>
      </vt:variant>
      <vt:variant>
        <vt:i4>5</vt:i4>
      </vt:variant>
      <vt:variant>
        <vt:lpwstr/>
      </vt:variant>
      <vt:variant>
        <vt:lpwstr>_Toc146778938</vt:lpwstr>
      </vt:variant>
      <vt:variant>
        <vt:i4>2031673</vt:i4>
      </vt:variant>
      <vt:variant>
        <vt:i4>26</vt:i4>
      </vt:variant>
      <vt:variant>
        <vt:i4>0</vt:i4>
      </vt:variant>
      <vt:variant>
        <vt:i4>5</vt:i4>
      </vt:variant>
      <vt:variant>
        <vt:lpwstr/>
      </vt:variant>
      <vt:variant>
        <vt:lpwstr>_Toc146778937</vt:lpwstr>
      </vt:variant>
      <vt:variant>
        <vt:i4>2031673</vt:i4>
      </vt:variant>
      <vt:variant>
        <vt:i4>23</vt:i4>
      </vt:variant>
      <vt:variant>
        <vt:i4>0</vt:i4>
      </vt:variant>
      <vt:variant>
        <vt:i4>5</vt:i4>
      </vt:variant>
      <vt:variant>
        <vt:lpwstr/>
      </vt:variant>
      <vt:variant>
        <vt:lpwstr>_Toc146778936</vt:lpwstr>
      </vt:variant>
      <vt:variant>
        <vt:i4>2031673</vt:i4>
      </vt:variant>
      <vt:variant>
        <vt:i4>20</vt:i4>
      </vt:variant>
      <vt:variant>
        <vt:i4>0</vt:i4>
      </vt:variant>
      <vt:variant>
        <vt:i4>5</vt:i4>
      </vt:variant>
      <vt:variant>
        <vt:lpwstr/>
      </vt:variant>
      <vt:variant>
        <vt:lpwstr>_Toc146778935</vt:lpwstr>
      </vt:variant>
      <vt:variant>
        <vt:i4>2031673</vt:i4>
      </vt:variant>
      <vt:variant>
        <vt:i4>17</vt:i4>
      </vt:variant>
      <vt:variant>
        <vt:i4>0</vt:i4>
      </vt:variant>
      <vt:variant>
        <vt:i4>5</vt:i4>
      </vt:variant>
      <vt:variant>
        <vt:lpwstr/>
      </vt:variant>
      <vt:variant>
        <vt:lpwstr>_Toc146778934</vt:lpwstr>
      </vt:variant>
      <vt:variant>
        <vt:i4>2031673</vt:i4>
      </vt:variant>
      <vt:variant>
        <vt:i4>14</vt:i4>
      </vt:variant>
      <vt:variant>
        <vt:i4>0</vt:i4>
      </vt:variant>
      <vt:variant>
        <vt:i4>5</vt:i4>
      </vt:variant>
      <vt:variant>
        <vt:lpwstr/>
      </vt:variant>
      <vt:variant>
        <vt:lpwstr>_Toc146778933</vt:lpwstr>
      </vt:variant>
      <vt:variant>
        <vt:i4>2031673</vt:i4>
      </vt:variant>
      <vt:variant>
        <vt:i4>11</vt:i4>
      </vt:variant>
      <vt:variant>
        <vt:i4>0</vt:i4>
      </vt:variant>
      <vt:variant>
        <vt:i4>5</vt:i4>
      </vt:variant>
      <vt:variant>
        <vt:lpwstr/>
      </vt:variant>
      <vt:variant>
        <vt:lpwstr>_Toc146778932</vt:lpwstr>
      </vt:variant>
      <vt:variant>
        <vt:i4>2031673</vt:i4>
      </vt:variant>
      <vt:variant>
        <vt:i4>8</vt:i4>
      </vt:variant>
      <vt:variant>
        <vt:i4>0</vt:i4>
      </vt:variant>
      <vt:variant>
        <vt:i4>5</vt:i4>
      </vt:variant>
      <vt:variant>
        <vt:lpwstr/>
      </vt:variant>
      <vt:variant>
        <vt:lpwstr>_Toc146778931</vt:lpwstr>
      </vt:variant>
      <vt:variant>
        <vt:i4>2031673</vt:i4>
      </vt:variant>
      <vt:variant>
        <vt:i4>5</vt:i4>
      </vt:variant>
      <vt:variant>
        <vt:i4>0</vt:i4>
      </vt:variant>
      <vt:variant>
        <vt:i4>5</vt:i4>
      </vt:variant>
      <vt:variant>
        <vt:lpwstr/>
      </vt:variant>
      <vt:variant>
        <vt:lpwstr>_Toc146778930</vt:lpwstr>
      </vt:variant>
      <vt:variant>
        <vt:i4>1966137</vt:i4>
      </vt:variant>
      <vt:variant>
        <vt:i4>2</vt:i4>
      </vt:variant>
      <vt:variant>
        <vt:i4>0</vt:i4>
      </vt:variant>
      <vt:variant>
        <vt:i4>5</vt:i4>
      </vt:variant>
      <vt:variant>
        <vt:lpwstr/>
      </vt:variant>
      <vt:variant>
        <vt:lpwstr>_Toc146778929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Ali Ericsson</cp:lastModifiedBy>
  <cp:revision>2</cp:revision>
  <cp:lastPrinted>2008-02-01T01:09:00Z</cp:lastPrinted>
  <dcterms:created xsi:type="dcterms:W3CDTF">2023-11-03T06:43:00Z</dcterms:created>
  <dcterms:modified xsi:type="dcterms:W3CDTF">2023-11-03T06:43:00Z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